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Times New Roman" w:cs="Times New Roman" w:hAnsi="Times New Roman" w:eastAsia="Times New Roman"/>
          <w:sz w:val="20"/>
          <w:szCs w:val="20"/>
          <w:lang w:val="fr-FR"/>
        </w:rPr>
      </w:pPr>
      <w:r>
        <w:rPr>
          <w:rFonts w:ascii="Times New Roman" w:cs="Times New Roman" w:hAnsi="Times New Roman" w:eastAsia="Times New Roman"/>
          <w:sz w:val="20"/>
          <w:szCs w:val="20"/>
          <w:lang w:val="fr-FR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8023224</wp:posOffset>
            </wp:positionH>
            <wp:positionV relativeFrom="line">
              <wp:posOffset>271399</wp:posOffset>
            </wp:positionV>
            <wp:extent cx="1170432" cy="713232"/>
            <wp:effectExtent l="0" t="0" r="0" b="0"/>
            <wp:wrapNone/>
            <wp:docPr id="1073741825" name="officeArt object" descr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2" descr="Picture 1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7132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widowControl w:val="1"/>
        <w:jc w:val="center"/>
        <w:rPr>
          <w:rFonts w:ascii="Helvetica" w:cs="Helvetica" w:hAnsi="Helvetica" w:eastAsia="Helvetica"/>
          <w:b w:val="1"/>
          <w:bCs w:val="1"/>
          <w:outline w:val="0"/>
          <w:color w:val="2d4380"/>
          <w:sz w:val="48"/>
          <w:szCs w:val="48"/>
          <w14:textFill>
            <w14:solidFill>
              <w14:srgbClr w14:val="2D4380"/>
            </w14:solidFill>
          </w14:textFill>
        </w:rPr>
      </w:pPr>
      <w:r>
        <w:rPr>
          <w:rFonts w:ascii="Helvetica" w:cs="Helvetica" w:hAnsi="Helvetica" w:eastAsia="Helvetica"/>
          <w:b w:val="1"/>
          <w:bCs w:val="1"/>
          <w:outline w:val="0"/>
          <w:color w:val="2d4380"/>
          <w:sz w:val="48"/>
          <w:szCs w:val="48"/>
          <w14:textFill>
            <w14:solidFill>
              <w14:srgbClr w14:val="2D438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7288212</wp:posOffset>
                </wp:positionH>
                <wp:positionV relativeFrom="line">
                  <wp:posOffset>442912</wp:posOffset>
                </wp:positionV>
                <wp:extent cx="12700" cy="12700"/>
                <wp:effectExtent l="0" t="0" r="0" b="0"/>
                <wp:wrapNone/>
                <wp:docPr id="1073741826" name="officeArt object" descr="Gro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75767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73.9pt;margin-top:34.9pt;width:1.0pt;height:1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75767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Helvetica" w:hAnsi="Helvetica"/>
          <w:b w:val="1"/>
          <w:bCs w:val="1"/>
          <w:outline w:val="0"/>
          <w:color w:val="2d4380"/>
          <w:sz w:val="48"/>
          <w:szCs w:val="48"/>
          <w:rtl w:val="0"/>
          <w:lang w:val="fr-FR"/>
          <w14:textFill>
            <w14:solidFill>
              <w14:srgbClr w14:val="2D4380"/>
            </w14:solidFill>
          </w14:textFill>
        </w:rPr>
        <w:t>Avertisseurs de monoxyde de carbone</w:t>
      </w:r>
    </w:p>
    <w:p>
      <w:pPr>
        <w:pStyle w:val="Body"/>
        <w:widowControl w:val="1"/>
        <w:jc w:val="center"/>
        <w:rPr>
          <w:rFonts w:ascii="Helvetica" w:cs="Helvetica" w:hAnsi="Helvetica" w:eastAsia="Helvetica"/>
          <w:b w:val="1"/>
          <w:bCs w:val="1"/>
          <w:outline w:val="0"/>
          <w:color w:val="2d4380"/>
          <w:sz w:val="48"/>
          <w:szCs w:val="48"/>
          <w14:textFill>
            <w14:solidFill>
              <w14:srgbClr w14:val="2D438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d4380"/>
          <w:sz w:val="48"/>
          <w:szCs w:val="48"/>
          <w:rtl w:val="0"/>
          <w:lang w:val="fr-FR"/>
          <w14:textFill>
            <w14:solidFill>
              <w14:srgbClr w14:val="2D4380"/>
            </w14:solidFill>
          </w14:textFill>
        </w:rPr>
        <w:t>et avertisseurs de fum</w:t>
      </w:r>
      <w:r>
        <w:rPr>
          <w:rFonts w:ascii="Helvetica" w:hAnsi="Helvetica" w:hint="default"/>
          <w:b w:val="1"/>
          <w:bCs w:val="1"/>
          <w:outline w:val="0"/>
          <w:color w:val="2d4380"/>
          <w:sz w:val="48"/>
          <w:szCs w:val="48"/>
          <w:rtl w:val="0"/>
          <w:lang w:val="fr-FR"/>
          <w14:textFill>
            <w14:solidFill>
              <w14:srgbClr w14:val="2D4380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2d4380"/>
          <w:sz w:val="48"/>
          <w:szCs w:val="48"/>
          <w:rtl w:val="0"/>
          <w14:textFill>
            <w14:solidFill>
              <w14:srgbClr w14:val="2D4380"/>
            </w14:solidFill>
          </w14:textFill>
        </w:rPr>
        <w:t>e</w:t>
      </w:r>
    </w:p>
    <w:p>
      <w:pPr>
        <w:pStyle w:val="Body"/>
        <w:widowControl w:val="1"/>
        <w:jc w:val="center"/>
        <w:rPr>
          <w:rFonts w:ascii="Helvetica" w:cs="Helvetica" w:hAnsi="Helvetica" w:eastAsia="Helvetica"/>
          <w:outline w:val="0"/>
          <w:color w:val="2d4380"/>
          <w:sz w:val="40"/>
          <w:szCs w:val="40"/>
          <w14:textFill>
            <w14:solidFill>
              <w14:srgbClr w14:val="2D4380"/>
            </w14:solidFill>
          </w14:textFill>
        </w:rPr>
      </w:pPr>
      <w:r>
        <w:rPr>
          <w:rFonts w:ascii="Helvetica" w:hAnsi="Helvetica"/>
          <w:outline w:val="0"/>
          <w:color w:val="2d4380"/>
          <w:sz w:val="40"/>
          <w:szCs w:val="40"/>
          <w:rtl w:val="0"/>
          <w:lang w:val="fr-FR"/>
          <w14:textFill>
            <w14:solidFill>
              <w14:srgbClr w14:val="2D4380"/>
            </w14:solidFill>
          </w14:textFill>
        </w:rPr>
        <w:t>Tableau de la l</w:t>
      </w:r>
      <w:r>
        <w:rPr>
          <w:rFonts w:ascii="Helvetica" w:hAnsi="Helvetica" w:hint="default"/>
          <w:outline w:val="0"/>
          <w:color w:val="2d4380"/>
          <w:sz w:val="40"/>
          <w:szCs w:val="40"/>
          <w:rtl w:val="0"/>
          <w:lang w:val="fr-FR"/>
          <w14:textFill>
            <w14:solidFill>
              <w14:srgbClr w14:val="2D4380"/>
            </w14:solidFill>
          </w14:textFill>
        </w:rPr>
        <w:t>é</w:t>
      </w:r>
      <w:r>
        <w:rPr>
          <w:rFonts w:ascii="Helvetica" w:hAnsi="Helvetica"/>
          <w:outline w:val="0"/>
          <w:color w:val="2d4380"/>
          <w:sz w:val="40"/>
          <w:szCs w:val="40"/>
          <w:rtl w:val="0"/>
          <w:lang w:val="fr-FR"/>
          <w14:textFill>
            <w14:solidFill>
              <w14:srgbClr w14:val="2D4380"/>
            </w14:solidFill>
          </w14:textFill>
        </w:rPr>
        <w:t xml:space="preserve">gislation canadienne </w:t>
      </w:r>
    </w:p>
    <w:p>
      <w:pPr>
        <w:pStyle w:val="Body Text"/>
        <w:rPr>
          <w:sz w:val="20"/>
          <w:szCs w:val="20"/>
          <w:lang w:val="fr-FR"/>
        </w:rPr>
      </w:pPr>
    </w:p>
    <w:p>
      <w:pPr>
        <w:pStyle w:val="Body Text"/>
        <w:spacing w:before="8"/>
        <w:rPr>
          <w:sz w:val="14"/>
          <w:szCs w:val="14"/>
          <w:lang w:val="fr-FR"/>
        </w:rPr>
      </w:pPr>
    </w:p>
    <w:tbl>
      <w:tblPr>
        <w:tblW w:w="14560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72"/>
        <w:gridCol w:w="1873"/>
        <w:gridCol w:w="1884"/>
        <w:gridCol w:w="8131"/>
      </w:tblGrid>
      <w:tr>
        <w:tblPrEx>
          <w:shd w:val="clear" w:color="auto" w:fill="4f81bd"/>
        </w:tblPrEx>
        <w:trPr>
          <w:trHeight w:val="1194" w:hRule="atLeast"/>
          <w:tblHeader/>
        </w:trPr>
        <w:tc>
          <w:tcPr>
            <w:tcW w:type="dxa" w:w="26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5cf4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before="251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fr-FR"/>
              </w:rPr>
              <w:t>Province/Territoire</w:t>
            </w:r>
          </w:p>
        </w:tc>
        <w:tc>
          <w:tcPr>
            <w:tcW w:type="dxa" w:w="18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5cf4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before="91" w:line="261" w:lineRule="auto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Avertisseur de monoxyde de carbone obligatoire </w:t>
            </w:r>
          </w:p>
        </w:tc>
        <w:tc>
          <w:tcPr>
            <w:tcW w:type="dxa" w:w="1884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5cf4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before="91" w:line="261" w:lineRule="auto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fr-FR"/>
              </w:rPr>
              <w:t>Avertisseur de fum</w:t>
            </w:r>
            <w:r>
              <w:rPr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24"/>
                <w:szCs w:val="24"/>
                <w:rtl w:val="0"/>
                <w:lang w:val="fr-FR"/>
              </w:rPr>
              <w:t>e obligatoire</w:t>
            </w:r>
          </w:p>
        </w:tc>
        <w:tc>
          <w:tcPr>
            <w:tcW w:type="dxa" w:w="81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5cf4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before="251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fr-FR"/>
              </w:rPr>
              <w:t>Commentaires</w:t>
            </w:r>
            <w:r>
              <w:rPr>
                <w:b w:val="1"/>
                <w:bCs w:val="1"/>
                <w:position w:val="12"/>
                <w:sz w:val="16"/>
                <w:szCs w:val="16"/>
                <w:rtl w:val="0"/>
                <w:lang w:val="fr-FR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1275" w:hRule="atLeast"/>
        </w:trPr>
        <w:tc>
          <w:tcPr>
            <w:tcW w:type="dxa" w:w="26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sz w:val="24"/>
                <w:szCs w:val="24"/>
                <w:rtl w:val="0"/>
                <w:lang w:val="en-US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Colombie-Britannique</w:t>
            </w:r>
          </w:p>
          <w:p>
            <w:pPr>
              <w:pStyle w:val="Table Paragraph"/>
              <w:bidi w:val="0"/>
              <w:spacing w:before="207" w:line="261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fr-FR"/>
              </w:rPr>
              <w:t>British Columbia Fire Code - Article 2.1.3.3</w:t>
            </w:r>
          </w:p>
        </w:tc>
        <w:tc>
          <w:tcPr>
            <w:tcW w:type="dxa" w:w="18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Oui*</w:t>
            </w:r>
          </w:p>
        </w:tc>
        <w:tc>
          <w:tcPr>
            <w:tcW w:type="dxa" w:w="1884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81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49" w:lineRule="auto"/>
              <w:ind w:left="0" w:right="0" w:firstLine="0"/>
              <w:jc w:val="left"/>
              <w:rPr>
                <w:sz w:val="21"/>
                <w:szCs w:val="21"/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Pas de loi provinciale sur les avertisseurs de monoxyde de carbone. La ville de Vancouver a rendu obligatoires les avertisseurs de monoxyde de carbone dans la ville en mai 2017.</w:t>
            </w:r>
          </w:p>
          <w:p>
            <w:pPr>
              <w:pStyle w:val="Table Paragraph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Des avertisseurs de fum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e doivent </w:t>
            </w:r>
            <w:r>
              <w:rPr>
                <w:sz w:val="20"/>
                <w:szCs w:val="20"/>
                <w:rtl w:val="0"/>
                <w:lang w:val="fr-FR"/>
              </w:rPr>
              <w:t>ê</w:t>
            </w:r>
            <w:r>
              <w:rPr>
                <w:sz w:val="20"/>
                <w:szCs w:val="20"/>
                <w:rtl w:val="0"/>
                <w:lang w:val="fr-FR"/>
              </w:rPr>
              <w:t>tre install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s dans chaque unit</w:t>
            </w:r>
            <w:r>
              <w:rPr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sz w:val="20"/>
                <w:szCs w:val="20"/>
                <w:rtl w:val="0"/>
                <w:lang w:val="fr-FR"/>
              </w:rPr>
              <w:t>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habitation.</w:t>
            </w:r>
          </w:p>
        </w:tc>
      </w:tr>
      <w:tr>
        <w:tblPrEx>
          <w:shd w:val="clear" w:color="auto" w:fill="ced7e7"/>
        </w:tblPrEx>
        <w:trPr>
          <w:trHeight w:val="1335" w:hRule="atLeast"/>
        </w:trPr>
        <w:tc>
          <w:tcPr>
            <w:tcW w:type="dxa" w:w="26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sz w:val="24"/>
                <w:szCs w:val="24"/>
                <w:rtl w:val="0"/>
                <w:lang w:val="en-US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Alberta</w:t>
            </w:r>
          </w:p>
          <w:p>
            <w:pPr>
              <w:pStyle w:val="Table Paragraph"/>
              <w:spacing w:before="9"/>
              <w:jc w:val="center"/>
              <w:rPr>
                <w:sz w:val="19"/>
                <w:szCs w:val="19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fr-FR"/>
              </w:rPr>
              <w:t>Alberta Fire Code</w:t>
            </w:r>
          </w:p>
        </w:tc>
        <w:tc>
          <w:tcPr>
            <w:tcW w:type="dxa" w:w="18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sz w:val="26"/>
                <w:szCs w:val="26"/>
                <w:lang w:val="fr-FR"/>
              </w:rPr>
            </w:pPr>
          </w:p>
          <w:p>
            <w:pPr>
              <w:pStyle w:val="Table Paragraph"/>
              <w:spacing w:before="1"/>
              <w:jc w:val="center"/>
              <w:rPr>
                <w:sz w:val="21"/>
                <w:szCs w:val="21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1884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rPr>
                <w:sz w:val="26"/>
                <w:szCs w:val="26"/>
                <w:lang w:val="fr-FR"/>
              </w:rPr>
            </w:pPr>
          </w:p>
          <w:p>
            <w:pPr>
              <w:pStyle w:val="Table Paragraph"/>
              <w:spacing w:before="1"/>
              <w:rPr>
                <w:sz w:val="21"/>
                <w:szCs w:val="21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81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before="5"/>
              <w:rPr>
                <w:sz w:val="17"/>
                <w:szCs w:val="17"/>
                <w:lang w:val="fr-FR"/>
              </w:rPr>
            </w:pPr>
          </w:p>
          <w:p>
            <w:pPr>
              <w:pStyle w:val="Table Paragraph"/>
              <w:bidi w:val="0"/>
              <w:spacing w:line="249" w:lineRule="auto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Toutes les nouvelles constructions r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sidentielles contenant des appareils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>combustion ou un garage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entreposage attenant exigent l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installation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avertisseurs de monoxyde de carbone.</w:t>
            </w:r>
          </w:p>
          <w:p>
            <w:pPr>
              <w:pStyle w:val="Table Paragraph"/>
              <w:spacing w:line="249" w:lineRule="auto"/>
              <w:rPr>
                <w:sz w:val="20"/>
                <w:szCs w:val="20"/>
                <w:lang w:val="fr-FR"/>
              </w:rPr>
            </w:pPr>
          </w:p>
          <w:p>
            <w:pPr>
              <w:pStyle w:val="Table Paragraph"/>
              <w:bidi w:val="0"/>
              <w:spacing w:line="24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Toutes les unit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s de logement doivent </w:t>
            </w:r>
            <w:r>
              <w:rPr>
                <w:sz w:val="20"/>
                <w:szCs w:val="20"/>
                <w:rtl w:val="0"/>
                <w:lang w:val="fr-FR"/>
              </w:rPr>
              <w:t>ê</w:t>
            </w:r>
            <w:r>
              <w:rPr>
                <w:sz w:val="20"/>
                <w:szCs w:val="20"/>
                <w:rtl w:val="0"/>
                <w:lang w:val="fr-FR"/>
              </w:rPr>
              <w:t>tre munies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un avertisseur de fum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e.</w:t>
            </w:r>
          </w:p>
        </w:tc>
      </w:tr>
      <w:tr>
        <w:tblPrEx>
          <w:shd w:val="clear" w:color="auto" w:fill="ced7e7"/>
        </w:tblPrEx>
        <w:trPr>
          <w:trHeight w:val="1516" w:hRule="atLeast"/>
        </w:trPr>
        <w:tc>
          <w:tcPr>
            <w:tcW w:type="dxa" w:w="26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sz w:val="24"/>
                <w:szCs w:val="24"/>
                <w:rtl w:val="0"/>
                <w:lang w:val="en-US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Saskatchewan</w:t>
            </w:r>
          </w:p>
          <w:p>
            <w:pPr>
              <w:pStyle w:val="Table Paragraph"/>
              <w:spacing w:before="3"/>
              <w:jc w:val="center"/>
              <w:rPr>
                <w:sz w:val="23"/>
                <w:szCs w:val="23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fr-FR"/>
              </w:rPr>
              <w:t>Building Standards Advisory</w:t>
            </w:r>
          </w:p>
        </w:tc>
        <w:tc>
          <w:tcPr>
            <w:tcW w:type="dxa" w:w="18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Oui*</w:t>
            </w:r>
          </w:p>
        </w:tc>
        <w:tc>
          <w:tcPr>
            <w:tcW w:type="dxa" w:w="1884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81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compter du 1</w:t>
            </w:r>
            <w:r>
              <w:rPr>
                <w:vertAlign w:val="superscript"/>
                <w:rtl w:val="0"/>
                <w:lang w:val="fr-FR"/>
              </w:rPr>
              <w:t>er</w:t>
            </w:r>
            <w:r>
              <w:rPr>
                <w:rtl w:val="0"/>
                <w:lang w:val="fr-FR"/>
              </w:rPr>
              <w:t xml:space="preserve"> juillet 2022, des d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tecteurs de CO et des avertisseurs de fum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e sont obligatoires dans tous les immeubles 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sidentiels, quelle que soit leur date de construction.</w:t>
            </w:r>
          </w:p>
        </w:tc>
      </w:tr>
      <w:tr>
        <w:tblPrEx>
          <w:shd w:val="clear" w:color="auto" w:fill="ced7e7"/>
        </w:tblPrEx>
        <w:trPr>
          <w:trHeight w:val="2271" w:hRule="atLeast"/>
        </w:trPr>
        <w:tc>
          <w:tcPr>
            <w:tcW w:type="dxa" w:w="26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sz w:val="24"/>
                <w:szCs w:val="24"/>
                <w:rtl w:val="0"/>
                <w:lang w:val="en-US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Manitoba</w:t>
            </w:r>
          </w:p>
          <w:p>
            <w:pPr>
              <w:pStyle w:val="Table Paragraph"/>
              <w:bidi w:val="0"/>
              <w:spacing w:before="208" w:line="261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fr-FR"/>
              </w:rPr>
              <w:t>Manitoba Building Code Manitoba Fire Code Regulation</w:t>
            </w:r>
          </w:p>
        </w:tc>
        <w:tc>
          <w:tcPr>
            <w:tcW w:type="dxa" w:w="18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1884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81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before="9"/>
              <w:rPr>
                <w:sz w:val="19"/>
                <w:szCs w:val="19"/>
                <w:lang w:val="fr-FR"/>
              </w:rPr>
            </w:pPr>
          </w:p>
          <w:p>
            <w:pPr>
              <w:pStyle w:val="Table Paragraph"/>
              <w:bidi w:val="0"/>
              <w:spacing w:before="1" w:line="249" w:lineRule="auto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Les avertisseurs de monoxyde de carbone sont obligatoires dans les maisons neuves et autres b</w:t>
            </w:r>
            <w:r>
              <w:rPr>
                <w:sz w:val="20"/>
                <w:szCs w:val="20"/>
                <w:rtl w:val="0"/>
                <w:lang w:val="fr-FR"/>
              </w:rPr>
              <w:t>â</w:t>
            </w:r>
            <w:r>
              <w:rPr>
                <w:sz w:val="20"/>
                <w:szCs w:val="20"/>
                <w:rtl w:val="0"/>
                <w:lang w:val="fr-FR"/>
              </w:rPr>
              <w:t>timents construits apr</w:t>
            </w:r>
            <w:r>
              <w:rPr>
                <w:sz w:val="20"/>
                <w:szCs w:val="20"/>
                <w:rtl w:val="0"/>
                <w:lang w:val="fr-FR"/>
              </w:rPr>
              <w:t>è</w:t>
            </w:r>
            <w:r>
              <w:rPr>
                <w:sz w:val="20"/>
                <w:szCs w:val="20"/>
                <w:rtl w:val="0"/>
                <w:lang w:val="fr-FR"/>
              </w:rPr>
              <w:t>s</w:t>
            </w:r>
            <w:r>
              <w:rPr>
                <w:sz w:val="20"/>
                <w:szCs w:val="20"/>
                <w:rtl w:val="0"/>
                <w:lang w:val="fr-FR"/>
              </w:rPr>
              <w:t> </w:t>
            </w:r>
            <w:r>
              <w:rPr>
                <w:sz w:val="20"/>
                <w:szCs w:val="20"/>
                <w:rtl w:val="0"/>
                <w:lang w:val="fr-FR"/>
              </w:rPr>
              <w:t>2011, ainsi que dans les structures qui n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cessitent des inspections r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guli</w:t>
            </w:r>
            <w:r>
              <w:rPr>
                <w:sz w:val="20"/>
                <w:szCs w:val="20"/>
                <w:rtl w:val="0"/>
                <w:lang w:val="fr-FR"/>
              </w:rPr>
              <w:t>è</w:t>
            </w:r>
            <w:r>
              <w:rPr>
                <w:sz w:val="20"/>
                <w:szCs w:val="20"/>
                <w:rtl w:val="0"/>
                <w:lang w:val="fr-FR"/>
              </w:rPr>
              <w:t>res de s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curit</w:t>
            </w:r>
            <w:r>
              <w:rPr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sz w:val="20"/>
                <w:szCs w:val="20"/>
                <w:rtl w:val="0"/>
                <w:lang w:val="fr-FR"/>
              </w:rPr>
              <w:t>incendie, notamment les motels, les h</w:t>
            </w:r>
            <w:r>
              <w:rPr>
                <w:sz w:val="20"/>
                <w:szCs w:val="20"/>
                <w:rtl w:val="0"/>
                <w:lang w:val="fr-FR"/>
              </w:rPr>
              <w:t>ô</w:t>
            </w:r>
            <w:r>
              <w:rPr>
                <w:sz w:val="20"/>
                <w:szCs w:val="20"/>
                <w:rtl w:val="0"/>
                <w:lang w:val="fr-FR"/>
              </w:rPr>
              <w:t>tels, les h</w:t>
            </w:r>
            <w:r>
              <w:rPr>
                <w:sz w:val="20"/>
                <w:szCs w:val="20"/>
                <w:rtl w:val="0"/>
                <w:lang w:val="fr-FR"/>
              </w:rPr>
              <w:t>ô</w:t>
            </w:r>
            <w:r>
              <w:rPr>
                <w:sz w:val="20"/>
                <w:szCs w:val="20"/>
                <w:rtl w:val="0"/>
                <w:lang w:val="fr-FR"/>
              </w:rPr>
              <w:t>pitaux, les foyers de soins personnels, les restaurants avec h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bergement, les 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coles et les garderies.</w:t>
            </w:r>
          </w:p>
          <w:p>
            <w:pPr>
              <w:pStyle w:val="Table Paragraph"/>
              <w:spacing w:before="1" w:line="249" w:lineRule="auto"/>
              <w:rPr>
                <w:sz w:val="20"/>
                <w:szCs w:val="20"/>
                <w:lang w:val="fr-FR"/>
              </w:rPr>
            </w:pPr>
          </w:p>
          <w:p>
            <w:pPr>
              <w:pStyle w:val="Table Paragraph"/>
              <w:bidi w:val="0"/>
              <w:spacing w:before="1" w:line="24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Un avertisseur de fum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e doit </w:t>
            </w:r>
            <w:r>
              <w:rPr>
                <w:sz w:val="20"/>
                <w:szCs w:val="20"/>
                <w:rtl w:val="0"/>
                <w:lang w:val="fr-FR"/>
              </w:rPr>
              <w:t>ê</w:t>
            </w:r>
            <w:r>
              <w:rPr>
                <w:sz w:val="20"/>
                <w:szCs w:val="20"/>
                <w:rtl w:val="0"/>
                <w:lang w:val="fr-FR"/>
              </w:rPr>
              <w:t>tre install</w:t>
            </w:r>
            <w:r>
              <w:rPr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sz w:val="20"/>
                <w:szCs w:val="20"/>
                <w:rtl w:val="0"/>
                <w:lang w:val="fr-FR"/>
              </w:rPr>
              <w:t xml:space="preserve">dans chaque chambre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 xml:space="preserve">coucher et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 xml:space="preserve">chaque 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tage.</w:t>
            </w:r>
          </w:p>
        </w:tc>
      </w:tr>
      <w:tr>
        <w:tblPrEx>
          <w:shd w:val="clear" w:color="auto" w:fill="ced7e7"/>
        </w:tblPrEx>
        <w:trPr>
          <w:trHeight w:val="2331" w:hRule="atLeast"/>
        </w:trPr>
        <w:tc>
          <w:tcPr>
            <w:tcW w:type="dxa" w:w="26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sz w:val="24"/>
                <w:szCs w:val="24"/>
                <w:rtl w:val="0"/>
                <w:lang w:val="en-US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Ontario</w:t>
            </w:r>
          </w:p>
          <w:p>
            <w:pPr>
              <w:pStyle w:val="Table Paragraph"/>
              <w:spacing w:before="9"/>
              <w:jc w:val="center"/>
              <w:rPr>
                <w:sz w:val="19"/>
                <w:szCs w:val="19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fr-FR"/>
              </w:rPr>
              <w:t>Code de pr</w:t>
            </w:r>
            <w:r>
              <w:rPr>
                <w:sz w:val="16"/>
                <w:szCs w:val="16"/>
                <w:rtl w:val="0"/>
                <w:lang w:val="fr-FR"/>
              </w:rPr>
              <w:t>é</w:t>
            </w:r>
            <w:r>
              <w:rPr>
                <w:sz w:val="16"/>
                <w:szCs w:val="16"/>
                <w:rtl w:val="0"/>
                <w:lang w:val="fr-FR"/>
              </w:rPr>
              <w:t>vention des incendies</w:t>
            </w:r>
          </w:p>
          <w:p>
            <w:pPr>
              <w:pStyle w:val="Table Paragraph"/>
              <w:bidi w:val="0"/>
              <w:spacing w:before="16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fr-FR"/>
              </w:rPr>
              <w:t>Loi sur la pr</w:t>
            </w:r>
            <w:r>
              <w:rPr>
                <w:sz w:val="16"/>
                <w:szCs w:val="16"/>
                <w:rtl w:val="0"/>
                <w:lang w:val="fr-FR"/>
              </w:rPr>
              <w:t>é</w:t>
            </w:r>
            <w:r>
              <w:rPr>
                <w:sz w:val="16"/>
                <w:szCs w:val="16"/>
                <w:rtl w:val="0"/>
                <w:lang w:val="fr-FR"/>
              </w:rPr>
              <w:t>vention et la protection contre l</w:t>
            </w:r>
            <w:r>
              <w:rPr>
                <w:sz w:val="16"/>
                <w:szCs w:val="16"/>
                <w:rtl w:val="0"/>
                <w:lang w:val="fr-FR"/>
              </w:rPr>
              <w:t>’</w:t>
            </w:r>
            <w:r>
              <w:rPr>
                <w:sz w:val="16"/>
                <w:szCs w:val="16"/>
                <w:rtl w:val="0"/>
                <w:lang w:val="fr-FR"/>
              </w:rPr>
              <w:t>incendie</w:t>
            </w:r>
          </w:p>
        </w:tc>
        <w:tc>
          <w:tcPr>
            <w:tcW w:type="dxa" w:w="18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1884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81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49" w:lineRule="auto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Les avertisseurs de monoxyde de carbone sont obligatoires dans tous les b</w:t>
            </w:r>
            <w:r>
              <w:rPr>
                <w:sz w:val="20"/>
                <w:szCs w:val="20"/>
                <w:rtl w:val="0"/>
                <w:lang w:val="fr-FR"/>
              </w:rPr>
              <w:t>â</w:t>
            </w:r>
            <w:r>
              <w:rPr>
                <w:sz w:val="20"/>
                <w:szCs w:val="20"/>
                <w:rtl w:val="0"/>
                <w:lang w:val="fr-FR"/>
              </w:rPr>
              <w:t xml:space="preserve">timents qui contiennent une habitation et un appareil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>combustible, un foyer ouvert ou un garage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 xml:space="preserve">entreposage. Les avertisseurs de monoxyde de carbone doivent </w:t>
            </w:r>
            <w:r>
              <w:rPr>
                <w:sz w:val="20"/>
                <w:szCs w:val="20"/>
                <w:rtl w:val="0"/>
                <w:lang w:val="fr-FR"/>
              </w:rPr>
              <w:t>ê</w:t>
            </w:r>
            <w:r>
              <w:rPr>
                <w:sz w:val="20"/>
                <w:szCs w:val="20"/>
                <w:rtl w:val="0"/>
                <w:lang w:val="fr-FR"/>
              </w:rPr>
              <w:t>tre situ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s aux endroits attenant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>chaque aire o</w:t>
            </w:r>
            <w:r>
              <w:rPr>
                <w:sz w:val="20"/>
                <w:szCs w:val="20"/>
                <w:rtl w:val="0"/>
                <w:lang w:val="fr-FR"/>
              </w:rPr>
              <w:t xml:space="preserve">ù </w:t>
            </w:r>
            <w:r>
              <w:rPr>
                <w:sz w:val="20"/>
                <w:szCs w:val="20"/>
                <w:rtl w:val="0"/>
                <w:lang w:val="fr-FR"/>
              </w:rPr>
              <w:t>l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 xml:space="preserve">on dort dans la maison, dans les locaux techniques et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>proximit</w:t>
            </w:r>
            <w:r>
              <w:rPr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sz w:val="20"/>
                <w:szCs w:val="20"/>
                <w:rtl w:val="0"/>
                <w:lang w:val="fr-FR"/>
              </w:rPr>
              <w:t>des aires o</w:t>
            </w:r>
            <w:r>
              <w:rPr>
                <w:sz w:val="20"/>
                <w:szCs w:val="20"/>
                <w:rtl w:val="0"/>
                <w:lang w:val="fr-FR"/>
              </w:rPr>
              <w:t xml:space="preserve">ù </w:t>
            </w:r>
            <w:r>
              <w:rPr>
                <w:sz w:val="20"/>
                <w:szCs w:val="20"/>
                <w:rtl w:val="0"/>
                <w:lang w:val="fr-FR"/>
              </w:rPr>
              <w:t>l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on dort dans les unit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s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>logements multiples.</w:t>
            </w:r>
          </w:p>
          <w:p>
            <w:pPr>
              <w:pStyle w:val="Table Paragraph"/>
              <w:bidi w:val="0"/>
              <w:spacing w:before="163" w:line="24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Les avertisseurs de fum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e sont obligatoires dans toutes les unit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s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habitation, les chambres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 xml:space="preserve">amis, les chambres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>coucher qui ne se trouvent pas dans une unit</w:t>
            </w:r>
            <w:r>
              <w:rPr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sz w:val="20"/>
                <w:szCs w:val="20"/>
                <w:rtl w:val="0"/>
                <w:lang w:val="fr-FR"/>
              </w:rPr>
              <w:t>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habitation et les diverses autres occupations exig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es par le Code du b</w:t>
            </w:r>
            <w:r>
              <w:rPr>
                <w:sz w:val="20"/>
                <w:szCs w:val="20"/>
                <w:rtl w:val="0"/>
                <w:lang w:val="fr-FR"/>
              </w:rPr>
              <w:t>â</w:t>
            </w:r>
            <w:r>
              <w:rPr>
                <w:sz w:val="20"/>
                <w:szCs w:val="20"/>
                <w:rtl w:val="0"/>
                <w:lang w:val="fr-FR"/>
              </w:rPr>
              <w:t xml:space="preserve">timent. </w:t>
            </w:r>
          </w:p>
        </w:tc>
      </w:tr>
      <w:tr>
        <w:tblPrEx>
          <w:shd w:val="clear" w:color="auto" w:fill="ced7e7"/>
        </w:tblPrEx>
        <w:trPr>
          <w:trHeight w:val="3812" w:hRule="atLeast"/>
        </w:trPr>
        <w:tc>
          <w:tcPr>
            <w:tcW w:type="dxa" w:w="26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sz w:val="24"/>
                <w:szCs w:val="24"/>
                <w:rtl w:val="0"/>
                <w:lang w:val="en-US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Qu</w:t>
            </w:r>
            <w:r>
              <w:rPr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en-US"/>
              </w:rPr>
              <w:t>é</w:t>
            </w: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bec</w:t>
            </w:r>
          </w:p>
          <w:p>
            <w:pPr>
              <w:pStyle w:val="Table Paragraph"/>
              <w:bidi w:val="0"/>
              <w:spacing w:before="208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fr-FR"/>
              </w:rPr>
              <w:t>Loi sur le b</w:t>
            </w:r>
            <w:r>
              <w:rPr>
                <w:sz w:val="16"/>
                <w:szCs w:val="16"/>
                <w:rtl w:val="0"/>
                <w:lang w:val="fr-FR"/>
              </w:rPr>
              <w:t>â</w:t>
            </w:r>
            <w:r>
              <w:rPr>
                <w:sz w:val="16"/>
                <w:szCs w:val="16"/>
                <w:rtl w:val="0"/>
                <w:lang w:val="fr-FR"/>
              </w:rPr>
              <w:t xml:space="preserve">timent, r.3 </w:t>
            </w:r>
            <w:r>
              <w:rPr>
                <w:sz w:val="16"/>
                <w:szCs w:val="16"/>
                <w:rtl w:val="0"/>
                <w:lang w:val="fr-FR"/>
              </w:rPr>
              <w:t xml:space="preserve">– </w:t>
            </w:r>
            <w:r>
              <w:rPr>
                <w:sz w:val="16"/>
                <w:szCs w:val="16"/>
                <w:rtl w:val="0"/>
                <w:lang w:val="fr-FR"/>
              </w:rPr>
              <w:t>Code de s</w:t>
            </w:r>
            <w:r>
              <w:rPr>
                <w:sz w:val="16"/>
                <w:szCs w:val="16"/>
                <w:rtl w:val="0"/>
                <w:lang w:val="fr-FR"/>
              </w:rPr>
              <w:t>é</w:t>
            </w:r>
            <w:r>
              <w:rPr>
                <w:sz w:val="16"/>
                <w:szCs w:val="16"/>
                <w:rtl w:val="0"/>
                <w:lang w:val="fr-FR"/>
              </w:rPr>
              <w:t>curit</w:t>
            </w:r>
            <w:r>
              <w:rPr>
                <w:sz w:val="16"/>
                <w:szCs w:val="16"/>
                <w:rtl w:val="0"/>
                <w:lang w:val="fr-FR"/>
              </w:rPr>
              <w:t>é</w:t>
            </w:r>
          </w:p>
        </w:tc>
        <w:tc>
          <w:tcPr>
            <w:tcW w:type="dxa" w:w="18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1884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81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49" w:lineRule="auto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 xml:space="preserve">Un avertisseur de monoxyde de carbone doit </w:t>
            </w:r>
            <w:r>
              <w:rPr>
                <w:sz w:val="20"/>
                <w:szCs w:val="20"/>
                <w:rtl w:val="0"/>
                <w:lang w:val="fr-FR"/>
              </w:rPr>
              <w:t>ê</w:t>
            </w:r>
            <w:r>
              <w:rPr>
                <w:sz w:val="20"/>
                <w:szCs w:val="20"/>
                <w:rtl w:val="0"/>
                <w:lang w:val="fr-FR"/>
              </w:rPr>
              <w:t>tre install</w:t>
            </w:r>
            <w:r>
              <w:rPr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sz w:val="20"/>
                <w:szCs w:val="20"/>
                <w:rtl w:val="0"/>
                <w:lang w:val="fr-FR"/>
              </w:rPr>
              <w:t>dans un logement, une habitation destin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e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 xml:space="preserve">des personnes </w:t>
            </w:r>
            <w:r>
              <w:rPr>
                <w:sz w:val="20"/>
                <w:szCs w:val="20"/>
                <w:rtl w:val="0"/>
                <w:lang w:val="fr-FR"/>
              </w:rPr>
              <w:t>â</w:t>
            </w:r>
            <w:r>
              <w:rPr>
                <w:sz w:val="20"/>
                <w:szCs w:val="20"/>
                <w:rtl w:val="0"/>
                <w:lang w:val="fr-FR"/>
              </w:rPr>
              <w:t>g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es ou une r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sidence supervis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e s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il contient</w:t>
            </w:r>
            <w:r>
              <w:rPr>
                <w:sz w:val="20"/>
                <w:szCs w:val="20"/>
                <w:rtl w:val="0"/>
                <w:lang w:val="fr-FR"/>
              </w:rPr>
              <w:t> </w:t>
            </w:r>
            <w:r>
              <w:rPr>
                <w:sz w:val="20"/>
                <w:szCs w:val="20"/>
                <w:rtl w:val="0"/>
                <w:lang w:val="fr-FR"/>
              </w:rPr>
              <w:t>:</w:t>
            </w:r>
          </w:p>
          <w:p>
            <w:pPr>
              <w:pStyle w:val="Table Paragraph"/>
              <w:bidi w:val="0"/>
              <w:spacing w:line="249" w:lineRule="auto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 xml:space="preserve">1 - soit un appareil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>combustion;</w:t>
            </w:r>
          </w:p>
          <w:p>
            <w:pPr>
              <w:pStyle w:val="Table Paragraph"/>
              <w:bidi w:val="0"/>
              <w:spacing w:line="249" w:lineRule="auto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2 - soit un acc</w:t>
            </w:r>
            <w:r>
              <w:rPr>
                <w:sz w:val="20"/>
                <w:szCs w:val="20"/>
                <w:rtl w:val="0"/>
                <w:lang w:val="fr-FR"/>
              </w:rPr>
              <w:t>è</w:t>
            </w:r>
            <w:r>
              <w:rPr>
                <w:sz w:val="20"/>
                <w:szCs w:val="20"/>
                <w:rtl w:val="0"/>
                <w:lang w:val="fr-FR"/>
              </w:rPr>
              <w:t xml:space="preserve">s direct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>un garage de stationnement int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rieur.</w:t>
            </w:r>
          </w:p>
          <w:p>
            <w:pPr>
              <w:pStyle w:val="Table Paragraph"/>
              <w:spacing w:line="249" w:lineRule="auto"/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pStyle w:val="Table Paragraph"/>
              <w:spacing w:before="7"/>
              <w:rPr>
                <w:sz w:val="17"/>
                <w:szCs w:val="17"/>
                <w:lang w:val="fr-FR"/>
              </w:rPr>
            </w:pPr>
          </w:p>
          <w:p>
            <w:pPr>
              <w:pStyle w:val="Table Paragraph"/>
              <w:bidi w:val="0"/>
              <w:spacing w:line="24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Des avertisseurs de fum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e doivent </w:t>
            </w:r>
            <w:r>
              <w:rPr>
                <w:sz w:val="20"/>
                <w:szCs w:val="20"/>
                <w:rtl w:val="0"/>
                <w:lang w:val="fr-FR"/>
              </w:rPr>
              <w:t>ê</w:t>
            </w:r>
            <w:r>
              <w:rPr>
                <w:sz w:val="20"/>
                <w:szCs w:val="20"/>
                <w:rtl w:val="0"/>
                <w:lang w:val="fr-FR"/>
              </w:rPr>
              <w:t>tre install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s dans chaque logement,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 xml:space="preserve">chaque 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tage, dans chaque corridor et aire de repos ou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activit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s communes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 xml:space="preserve">une habitation pour personnes </w:t>
            </w:r>
            <w:r>
              <w:rPr>
                <w:sz w:val="20"/>
                <w:szCs w:val="20"/>
                <w:rtl w:val="0"/>
                <w:lang w:val="fr-FR"/>
              </w:rPr>
              <w:t>â</w:t>
            </w:r>
            <w:r>
              <w:rPr>
                <w:sz w:val="20"/>
                <w:szCs w:val="20"/>
                <w:rtl w:val="0"/>
                <w:lang w:val="fr-FR"/>
              </w:rPr>
              <w:t>g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es qui n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est pas pourvue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un syst</w:t>
            </w:r>
            <w:r>
              <w:rPr>
                <w:sz w:val="20"/>
                <w:szCs w:val="20"/>
                <w:rtl w:val="0"/>
                <w:lang w:val="fr-FR"/>
              </w:rPr>
              <w:t>è</w:t>
            </w:r>
            <w:r>
              <w:rPr>
                <w:sz w:val="20"/>
                <w:szCs w:val="20"/>
                <w:rtl w:val="0"/>
                <w:lang w:val="fr-FR"/>
              </w:rPr>
              <w:t>me de d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tection et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alarme incendie, dans chaque pi</w:t>
            </w:r>
            <w:r>
              <w:rPr>
                <w:sz w:val="20"/>
                <w:szCs w:val="20"/>
                <w:rtl w:val="0"/>
                <w:lang w:val="fr-FR"/>
              </w:rPr>
              <w:t>è</w:t>
            </w:r>
            <w:r>
              <w:rPr>
                <w:sz w:val="20"/>
                <w:szCs w:val="20"/>
                <w:rtl w:val="0"/>
                <w:lang w:val="fr-FR"/>
              </w:rPr>
              <w:t>ce o</w:t>
            </w:r>
            <w:r>
              <w:rPr>
                <w:sz w:val="20"/>
                <w:szCs w:val="20"/>
                <w:rtl w:val="0"/>
                <w:lang w:val="fr-FR"/>
              </w:rPr>
              <w:t xml:space="preserve">ù </w:t>
            </w:r>
            <w:r>
              <w:rPr>
                <w:sz w:val="20"/>
                <w:szCs w:val="20"/>
                <w:rtl w:val="0"/>
                <w:lang w:val="fr-FR"/>
              </w:rPr>
              <w:t>l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on dort, chaque corridor et chaque aire de repos ou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activit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s communes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une habitation destin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e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 xml:space="preserve">des personnes </w:t>
            </w:r>
            <w:r>
              <w:rPr>
                <w:sz w:val="20"/>
                <w:szCs w:val="20"/>
                <w:rtl w:val="0"/>
                <w:lang w:val="fr-FR"/>
              </w:rPr>
              <w:t>â</w:t>
            </w:r>
            <w:r>
              <w:rPr>
                <w:sz w:val="20"/>
                <w:szCs w:val="20"/>
                <w:rtl w:val="0"/>
                <w:lang w:val="fr-FR"/>
              </w:rPr>
              <w:t>g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es de type unifamilial, dans les pi</w:t>
            </w:r>
            <w:r>
              <w:rPr>
                <w:sz w:val="20"/>
                <w:szCs w:val="20"/>
                <w:rtl w:val="0"/>
                <w:lang w:val="fr-FR"/>
              </w:rPr>
              <w:t>è</w:t>
            </w:r>
            <w:r>
              <w:rPr>
                <w:sz w:val="20"/>
                <w:szCs w:val="20"/>
                <w:rtl w:val="0"/>
                <w:lang w:val="fr-FR"/>
              </w:rPr>
              <w:t>ces o</w:t>
            </w:r>
            <w:r>
              <w:rPr>
                <w:sz w:val="20"/>
                <w:szCs w:val="20"/>
                <w:rtl w:val="0"/>
                <w:lang w:val="fr-FR"/>
              </w:rPr>
              <w:t xml:space="preserve">ù </w:t>
            </w:r>
            <w:r>
              <w:rPr>
                <w:sz w:val="20"/>
                <w:szCs w:val="20"/>
                <w:rtl w:val="0"/>
                <w:lang w:val="fr-FR"/>
              </w:rPr>
              <w:t>l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on dort, et dans les corridors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une r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sidence supervis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e dont les chambres ne sont pas munies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un d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tecteur de fum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e; dans chaque pi</w:t>
            </w:r>
            <w:r>
              <w:rPr>
                <w:sz w:val="20"/>
                <w:szCs w:val="20"/>
                <w:rtl w:val="0"/>
                <w:lang w:val="fr-FR"/>
              </w:rPr>
              <w:t>è</w:t>
            </w:r>
            <w:r>
              <w:rPr>
                <w:sz w:val="20"/>
                <w:szCs w:val="20"/>
                <w:rtl w:val="0"/>
                <w:lang w:val="fr-FR"/>
              </w:rPr>
              <w:t>ce o</w:t>
            </w:r>
            <w:r>
              <w:rPr>
                <w:sz w:val="20"/>
                <w:szCs w:val="20"/>
                <w:rtl w:val="0"/>
                <w:lang w:val="fr-FR"/>
              </w:rPr>
              <w:t xml:space="preserve">ù </w:t>
            </w:r>
            <w:r>
              <w:rPr>
                <w:sz w:val="20"/>
                <w:szCs w:val="20"/>
                <w:rtl w:val="0"/>
                <w:lang w:val="fr-FR"/>
              </w:rPr>
              <w:t>l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on dort qui ne fait pas partie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 xml:space="preserve">un logement (sauf dans les 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tablissements de soins ou de d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tention qui doivent </w:t>
            </w:r>
            <w:r>
              <w:rPr>
                <w:sz w:val="20"/>
                <w:szCs w:val="20"/>
                <w:rtl w:val="0"/>
                <w:lang w:val="fr-FR"/>
              </w:rPr>
              <w:t>ê</w:t>
            </w:r>
            <w:r>
              <w:rPr>
                <w:sz w:val="20"/>
                <w:szCs w:val="20"/>
                <w:rtl w:val="0"/>
                <w:lang w:val="fr-FR"/>
              </w:rPr>
              <w:t xml:space="preserve">tre 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quip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s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un syst</w:t>
            </w:r>
            <w:r>
              <w:rPr>
                <w:sz w:val="20"/>
                <w:szCs w:val="20"/>
                <w:rtl w:val="0"/>
                <w:lang w:val="fr-FR"/>
              </w:rPr>
              <w:t>è</w:t>
            </w:r>
            <w:r>
              <w:rPr>
                <w:sz w:val="20"/>
                <w:szCs w:val="20"/>
                <w:rtl w:val="0"/>
                <w:lang w:val="fr-FR"/>
              </w:rPr>
              <w:t>me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alarme incendie).</w:t>
            </w:r>
          </w:p>
        </w:tc>
      </w:tr>
      <w:tr>
        <w:tblPrEx>
          <w:shd w:val="clear" w:color="auto" w:fill="ced7e7"/>
        </w:tblPrEx>
        <w:trPr>
          <w:trHeight w:val="1916" w:hRule="atLeast"/>
        </w:trPr>
        <w:tc>
          <w:tcPr>
            <w:tcW w:type="dxa" w:w="26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sz w:val="24"/>
                <w:szCs w:val="24"/>
                <w:rtl w:val="0"/>
                <w:lang w:val="en-US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Nouveau-Brunswick</w:t>
            </w:r>
          </w:p>
          <w:p>
            <w:pPr>
              <w:pStyle w:val="Table Paragraph"/>
              <w:spacing w:before="8"/>
              <w:jc w:val="center"/>
              <w:rPr>
                <w:sz w:val="19"/>
                <w:szCs w:val="19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fr-FR"/>
              </w:rPr>
              <w:t>Loi sur la pr</w:t>
            </w:r>
            <w:r>
              <w:rPr>
                <w:sz w:val="16"/>
                <w:szCs w:val="16"/>
                <w:rtl w:val="0"/>
                <w:lang w:val="fr-FR"/>
              </w:rPr>
              <w:t>é</w:t>
            </w:r>
            <w:r>
              <w:rPr>
                <w:sz w:val="16"/>
                <w:szCs w:val="16"/>
                <w:rtl w:val="0"/>
                <w:lang w:val="fr-FR"/>
              </w:rPr>
              <w:t>vention des incendies</w:t>
            </w:r>
          </w:p>
        </w:tc>
        <w:tc>
          <w:tcPr>
            <w:tcW w:type="dxa" w:w="18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before="195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Oui*</w:t>
            </w:r>
          </w:p>
        </w:tc>
        <w:tc>
          <w:tcPr>
            <w:tcW w:type="dxa" w:w="1884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before="195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Oui*</w:t>
            </w:r>
          </w:p>
        </w:tc>
        <w:tc>
          <w:tcPr>
            <w:tcW w:type="dxa" w:w="81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before="133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fr-FR"/>
              </w:rPr>
              <w:t>Pas de loi provinciale sur les avertisseurs de monoxyde de carbone.</w:t>
            </w:r>
          </w:p>
          <w:p>
            <w:pPr>
              <w:pStyle w:val="Table Paragraph"/>
              <w:spacing w:before="8"/>
              <w:rPr>
                <w:sz w:val="21"/>
                <w:szCs w:val="21"/>
                <w:lang w:val="fr-FR"/>
              </w:rPr>
            </w:pPr>
          </w:p>
          <w:p>
            <w:pPr>
              <w:pStyle w:val="Table Paragraph"/>
              <w:bidi w:val="0"/>
              <w:spacing w:before="1" w:line="24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Le R</w:t>
            </w:r>
            <w:r>
              <w:rPr>
                <w:sz w:val="20"/>
                <w:szCs w:val="20"/>
                <w:rtl w:val="0"/>
                <w:lang w:val="fr-FR"/>
              </w:rPr>
              <w:t>è</w:t>
            </w:r>
            <w:r>
              <w:rPr>
                <w:sz w:val="20"/>
                <w:szCs w:val="20"/>
                <w:rtl w:val="0"/>
                <w:lang w:val="fr-FR"/>
              </w:rPr>
              <w:t>glement sur les avertisseurs et les d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tecteurs de fum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e de la Loi sur la pr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vention des incendies a 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t</w:t>
            </w:r>
            <w:r>
              <w:rPr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sz w:val="20"/>
                <w:szCs w:val="20"/>
                <w:rtl w:val="0"/>
                <w:lang w:val="fr-FR"/>
              </w:rPr>
              <w:t>abrog</w:t>
            </w:r>
            <w:r>
              <w:rPr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sz w:val="20"/>
                <w:szCs w:val="20"/>
                <w:rtl w:val="0"/>
                <w:lang w:val="fr-FR"/>
              </w:rPr>
              <w:t>en 2014.</w:t>
            </w:r>
          </w:p>
        </w:tc>
      </w:tr>
      <w:tr>
        <w:tblPrEx>
          <w:shd w:val="clear" w:color="auto" w:fill="ced7e7"/>
        </w:tblPrEx>
        <w:trPr>
          <w:trHeight w:val="1916" w:hRule="atLeast"/>
        </w:trPr>
        <w:tc>
          <w:tcPr>
            <w:tcW w:type="dxa" w:w="26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sz w:val="24"/>
                <w:szCs w:val="24"/>
                <w:rtl w:val="0"/>
                <w:lang w:val="en-US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Nouvelle-</w:t>
            </w:r>
            <w:r>
              <w:rPr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en-US"/>
              </w:rPr>
              <w:t>É</w:t>
            </w: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cosse</w:t>
            </w:r>
          </w:p>
          <w:p>
            <w:pPr>
              <w:pStyle w:val="Table Paragraph"/>
              <w:spacing w:before="1"/>
              <w:jc w:val="center"/>
              <w:rPr>
                <w:sz w:val="16"/>
                <w:szCs w:val="16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fr-FR"/>
              </w:rPr>
              <w:t>Fire Safety Act</w:t>
            </w:r>
          </w:p>
        </w:tc>
        <w:tc>
          <w:tcPr>
            <w:tcW w:type="dxa" w:w="18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jc w:val="center"/>
              <w:rPr>
                <w:sz w:val="26"/>
                <w:szCs w:val="26"/>
                <w:lang w:val="fr-FR"/>
              </w:rPr>
            </w:pPr>
          </w:p>
          <w:p>
            <w:pPr>
              <w:pStyle w:val="Table Paragraph"/>
              <w:bidi w:val="0"/>
              <w:spacing w:before="19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Oui*</w:t>
            </w:r>
          </w:p>
        </w:tc>
        <w:tc>
          <w:tcPr>
            <w:tcW w:type="dxa" w:w="1884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rPr>
                <w:sz w:val="26"/>
                <w:szCs w:val="26"/>
                <w:lang w:val="fr-FR"/>
              </w:rPr>
            </w:pPr>
          </w:p>
          <w:p>
            <w:pPr>
              <w:pStyle w:val="Table Paragraph"/>
              <w:bidi w:val="0"/>
              <w:spacing w:before="19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81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before="6"/>
              <w:rPr>
                <w:sz w:val="21"/>
                <w:szCs w:val="21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Pas de loi provinciale sur les avertisseurs de monoxyde de carbone.</w:t>
            </w:r>
          </w:p>
          <w:p>
            <w:pPr>
              <w:pStyle w:val="Table Paragraph"/>
              <w:spacing w:before="8"/>
              <w:rPr>
                <w:sz w:val="21"/>
                <w:szCs w:val="21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Des avertisseurs de fum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e sont requis dans tous les endroits o</w:t>
            </w:r>
            <w:r>
              <w:rPr>
                <w:sz w:val="20"/>
                <w:szCs w:val="20"/>
                <w:rtl w:val="0"/>
                <w:lang w:val="fr-FR"/>
              </w:rPr>
              <w:t xml:space="preserve">ù </w:t>
            </w:r>
            <w:r>
              <w:rPr>
                <w:sz w:val="20"/>
                <w:szCs w:val="20"/>
                <w:rtl w:val="0"/>
                <w:lang w:val="fr-FR"/>
              </w:rPr>
              <w:t>l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on dort.</w:t>
            </w:r>
          </w:p>
        </w:tc>
      </w:tr>
      <w:tr>
        <w:tblPrEx>
          <w:shd w:val="clear" w:color="auto" w:fill="ced7e7"/>
        </w:tblPrEx>
        <w:trPr>
          <w:trHeight w:val="1916" w:hRule="atLeast"/>
        </w:trPr>
        <w:tc>
          <w:tcPr>
            <w:tcW w:type="dxa" w:w="26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sz w:val="24"/>
                <w:szCs w:val="24"/>
                <w:rtl w:val="0"/>
                <w:lang w:val="en-US"/>
              </w:rPr>
            </w:pPr>
            <w:r>
              <w:rPr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en-US"/>
              </w:rPr>
              <w:t>Î</w:t>
            </w: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le-du-Prince-</w:t>
            </w:r>
            <w:r>
              <w:rPr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en-US"/>
              </w:rPr>
              <w:t>É</w:t>
            </w: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douard</w:t>
            </w:r>
            <w:r>
              <w:rPr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  </w:t>
            </w:r>
          </w:p>
          <w:p>
            <w:pPr>
              <w:pStyle w:val="Table Paragraph"/>
              <w:bidi w:val="0"/>
              <w:spacing w:before="208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fr-FR"/>
              </w:rPr>
              <w:t>Fire Prevention Act</w:t>
            </w:r>
          </w:p>
        </w:tc>
        <w:tc>
          <w:tcPr>
            <w:tcW w:type="dxa" w:w="18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before="184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Non</w:t>
            </w:r>
          </w:p>
        </w:tc>
        <w:tc>
          <w:tcPr>
            <w:tcW w:type="dxa" w:w="1884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before="184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81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before="142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fr-FR"/>
              </w:rPr>
              <w:t>Pas de loi provinciale sur les avertisseurs de monoxyde de carbone.</w:t>
            </w:r>
          </w:p>
          <w:p>
            <w:pPr>
              <w:pStyle w:val="Table Paragraph"/>
              <w:spacing w:before="8"/>
              <w:rPr>
                <w:sz w:val="21"/>
                <w:szCs w:val="21"/>
                <w:lang w:val="fr-FR"/>
              </w:rPr>
            </w:pPr>
          </w:p>
          <w:p>
            <w:pPr>
              <w:pStyle w:val="Table Paragraph"/>
              <w:bidi w:val="0"/>
              <w:spacing w:line="24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Des avertisseurs de fum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e sont requis dans toutes les chambres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 xml:space="preserve">coucher,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>l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ext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rieur de chaque endroit o</w:t>
            </w:r>
            <w:r>
              <w:rPr>
                <w:sz w:val="20"/>
                <w:szCs w:val="20"/>
                <w:rtl w:val="0"/>
                <w:lang w:val="fr-FR"/>
              </w:rPr>
              <w:t xml:space="preserve">ù </w:t>
            </w:r>
            <w:r>
              <w:rPr>
                <w:sz w:val="20"/>
                <w:szCs w:val="20"/>
                <w:rtl w:val="0"/>
                <w:lang w:val="fr-FR"/>
              </w:rPr>
              <w:t>l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 xml:space="preserve">on dort et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 xml:space="preserve">chaque 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tage. </w:t>
            </w:r>
          </w:p>
        </w:tc>
      </w:tr>
      <w:tr>
        <w:tblPrEx>
          <w:shd w:val="clear" w:color="auto" w:fill="ced7e7"/>
        </w:tblPrEx>
        <w:trPr>
          <w:trHeight w:val="2340" w:hRule="atLeast"/>
        </w:trPr>
        <w:tc>
          <w:tcPr>
            <w:tcW w:type="dxa" w:w="26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sz w:val="24"/>
                <w:szCs w:val="24"/>
                <w:rtl w:val="0"/>
                <w:lang w:val="en-US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Terre-Neuve et Labrador</w:t>
            </w:r>
          </w:p>
          <w:p>
            <w:pPr>
              <w:pStyle w:val="Table Paragraph"/>
              <w:spacing w:before="6"/>
              <w:jc w:val="center"/>
              <w:rPr>
                <w:lang w:val="fr-FR"/>
              </w:rPr>
            </w:pPr>
          </w:p>
          <w:p>
            <w:pPr>
              <w:pStyle w:val="Table Paragraph"/>
              <w:bidi w:val="0"/>
              <w:spacing w:line="261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fr-FR"/>
              </w:rPr>
              <w:t xml:space="preserve">Fire Protection Services </w:t>
            </w:r>
            <w:r>
              <w:rPr>
                <w:spacing w:val="-6"/>
                <w:sz w:val="16"/>
                <w:szCs w:val="16"/>
                <w:rtl w:val="0"/>
                <w:lang w:val="fr-FR"/>
              </w:rPr>
              <w:t xml:space="preserve">Act </w:t>
            </w:r>
            <w:r>
              <w:rPr>
                <w:sz w:val="16"/>
                <w:szCs w:val="16"/>
                <w:rtl w:val="0"/>
                <w:lang w:val="fr-FR"/>
              </w:rPr>
              <w:t>Fire Protection Services Regulations</w:t>
            </w:r>
          </w:p>
        </w:tc>
        <w:tc>
          <w:tcPr>
            <w:tcW w:type="dxa" w:w="18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Oui*</w:t>
            </w:r>
          </w:p>
        </w:tc>
        <w:tc>
          <w:tcPr>
            <w:tcW w:type="dxa" w:w="1884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81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rPr>
                <w:sz w:val="24"/>
                <w:szCs w:val="24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Pas de loi provinciale sur les avertisseurs de monoxyde de carbone.</w:t>
            </w:r>
          </w:p>
          <w:p>
            <w:pPr>
              <w:pStyle w:val="Table Paragraph"/>
              <w:spacing w:before="9"/>
              <w:rPr>
                <w:sz w:val="21"/>
                <w:szCs w:val="21"/>
                <w:lang w:val="fr-FR"/>
              </w:rPr>
            </w:pPr>
          </w:p>
          <w:p>
            <w:pPr>
              <w:pStyle w:val="Table Paragraph"/>
              <w:bidi w:val="0"/>
              <w:spacing w:line="24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Les avertisseurs de fum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e sont requis dans les unit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s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 xml:space="preserve">habitation neuves et existantes et dans chaque chambre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>coucher qui ne fait pas partie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une unit</w:t>
            </w:r>
            <w:r>
              <w:rPr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sz w:val="20"/>
                <w:szCs w:val="20"/>
                <w:rtl w:val="0"/>
                <w:lang w:val="fr-FR"/>
              </w:rPr>
              <w:t>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habitation, dans les r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sidences et chalets saisonniers priv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s et occup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s, dans toutes les unit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s familiales existantes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un ou de deux logements, occup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es par le propri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taire ou lou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es,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>moins d</w:t>
            </w:r>
            <w:r>
              <w:rPr>
                <w:sz w:val="20"/>
                <w:szCs w:val="20"/>
                <w:rtl w:val="0"/>
                <w:lang w:val="fr-FR"/>
              </w:rPr>
              <w:t>’ê</w:t>
            </w:r>
            <w:r>
              <w:rPr>
                <w:sz w:val="20"/>
                <w:szCs w:val="20"/>
                <w:rtl w:val="0"/>
                <w:lang w:val="fr-FR"/>
              </w:rPr>
              <w:t>tre r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gi en vertu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un r</w:t>
            </w:r>
            <w:r>
              <w:rPr>
                <w:sz w:val="20"/>
                <w:szCs w:val="20"/>
                <w:rtl w:val="0"/>
                <w:lang w:val="fr-FR"/>
              </w:rPr>
              <w:t>è</w:t>
            </w:r>
            <w:r>
              <w:rPr>
                <w:sz w:val="20"/>
                <w:szCs w:val="20"/>
                <w:rtl w:val="0"/>
                <w:lang w:val="fr-FR"/>
              </w:rPr>
              <w:t>glement municipal, et dans tout autre lieu, conform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ment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>la d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cision du commissaire des incendies.</w:t>
            </w:r>
            <w:r>
              <w:rPr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1446" w:hRule="atLeast"/>
        </w:trPr>
        <w:tc>
          <w:tcPr>
            <w:tcW w:type="dxa" w:w="26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sz w:val="24"/>
                <w:szCs w:val="24"/>
                <w:rtl w:val="0"/>
                <w:lang w:val="en-US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Yukon</w:t>
            </w:r>
          </w:p>
          <w:p>
            <w:pPr>
              <w:pStyle w:val="Table Paragraph"/>
              <w:spacing w:before="5"/>
              <w:jc w:val="center"/>
              <w:rPr>
                <w:sz w:val="21"/>
                <w:szCs w:val="21"/>
                <w:lang w:val="fr-FR"/>
              </w:rPr>
            </w:pPr>
          </w:p>
          <w:p>
            <w:pPr>
              <w:pStyle w:val="Table Paragraph"/>
              <w:bidi w:val="0"/>
              <w:spacing w:before="1" w:line="261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fr-FR"/>
              </w:rPr>
              <w:t>Loi modifiant la Loi sur la s</w:t>
            </w:r>
            <w:r>
              <w:rPr>
                <w:sz w:val="16"/>
                <w:szCs w:val="16"/>
                <w:rtl w:val="0"/>
                <w:lang w:val="fr-FR"/>
              </w:rPr>
              <w:t>é</w:t>
            </w:r>
            <w:r>
              <w:rPr>
                <w:sz w:val="16"/>
                <w:szCs w:val="16"/>
                <w:rtl w:val="0"/>
                <w:lang w:val="fr-FR"/>
              </w:rPr>
              <w:t>curit</w:t>
            </w:r>
            <w:r>
              <w:rPr>
                <w:sz w:val="16"/>
                <w:szCs w:val="16"/>
                <w:rtl w:val="0"/>
                <w:lang w:val="fr-FR"/>
              </w:rPr>
              <w:t xml:space="preserve">é </w:t>
            </w:r>
            <w:r>
              <w:rPr>
                <w:sz w:val="16"/>
                <w:szCs w:val="16"/>
                <w:rtl w:val="0"/>
                <w:lang w:val="fr-FR"/>
              </w:rPr>
              <w:t>entourant l</w:t>
            </w:r>
            <w:r>
              <w:rPr>
                <w:sz w:val="16"/>
                <w:szCs w:val="16"/>
                <w:rtl w:val="0"/>
                <w:lang w:val="fr-FR"/>
              </w:rPr>
              <w:t>’</w:t>
            </w:r>
            <w:r>
              <w:rPr>
                <w:sz w:val="16"/>
                <w:szCs w:val="16"/>
                <w:rtl w:val="0"/>
                <w:lang w:val="fr-FR"/>
              </w:rPr>
              <w:t xml:space="preserve">utilisation des appareils de combustion au mazout </w:t>
            </w:r>
          </w:p>
        </w:tc>
        <w:tc>
          <w:tcPr>
            <w:tcW w:type="dxa" w:w="18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1884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</w:t>
            </w:r>
          </w:p>
        </w:tc>
        <w:tc>
          <w:tcPr>
            <w:tcW w:type="dxa" w:w="81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spacing w:line="24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Toutes les r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sidences du Yukon 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quip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es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 xml:space="preserve">un appareil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>combustible ou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 xml:space="preserve">un garage attenant doivent avoir des avertisseurs de monoxyde de carbone. Toutes les maisons du Yukon doivent </w:t>
            </w:r>
            <w:r>
              <w:rPr>
                <w:sz w:val="20"/>
                <w:szCs w:val="20"/>
                <w:rtl w:val="0"/>
                <w:lang w:val="fr-FR"/>
              </w:rPr>
              <w:t>ê</w:t>
            </w:r>
            <w:r>
              <w:rPr>
                <w:sz w:val="20"/>
                <w:szCs w:val="20"/>
                <w:rtl w:val="0"/>
                <w:lang w:val="fr-FR"/>
              </w:rPr>
              <w:t>tre munies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avertisseurs de fum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e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 xml:space="preserve">tous les 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tages de la maison et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>l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ext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rieur des pi</w:t>
            </w:r>
            <w:r>
              <w:rPr>
                <w:sz w:val="20"/>
                <w:szCs w:val="20"/>
                <w:rtl w:val="0"/>
                <w:lang w:val="fr-FR"/>
              </w:rPr>
              <w:t>è</w:t>
            </w:r>
            <w:r>
              <w:rPr>
                <w:sz w:val="20"/>
                <w:szCs w:val="20"/>
                <w:rtl w:val="0"/>
                <w:lang w:val="fr-FR"/>
              </w:rPr>
              <w:t>ces o</w:t>
            </w:r>
            <w:r>
              <w:rPr>
                <w:sz w:val="20"/>
                <w:szCs w:val="20"/>
                <w:rtl w:val="0"/>
                <w:lang w:val="fr-FR"/>
              </w:rPr>
              <w:t xml:space="preserve">ù </w:t>
            </w:r>
            <w:r>
              <w:rPr>
                <w:sz w:val="20"/>
                <w:szCs w:val="20"/>
                <w:rtl w:val="0"/>
                <w:lang w:val="fr-FR"/>
              </w:rPr>
              <w:t>l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on dort.</w:t>
            </w:r>
          </w:p>
        </w:tc>
      </w:tr>
      <w:tr>
        <w:tblPrEx>
          <w:shd w:val="clear" w:color="auto" w:fill="ced7e7"/>
        </w:tblPrEx>
        <w:trPr>
          <w:trHeight w:val="1515" w:hRule="atLeast"/>
        </w:trPr>
        <w:tc>
          <w:tcPr>
            <w:tcW w:type="dxa" w:w="26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Territoires du</w:t>
            </w:r>
            <w:r>
              <w:rPr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Nord-Ouest</w:t>
            </w:r>
            <w:r>
              <w:rPr>
                <w:rFonts w:ascii="Helvetica" w:hAnsi="Helvetica" w:hint="default"/>
                <w:b w:val="1"/>
                <w:bCs w:val="1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type="dxa" w:w="18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Non</w:t>
            </w:r>
          </w:p>
        </w:tc>
        <w:tc>
          <w:tcPr>
            <w:tcW w:type="dxa" w:w="1884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Oui*</w:t>
            </w:r>
          </w:p>
        </w:tc>
        <w:tc>
          <w:tcPr>
            <w:tcW w:type="dxa" w:w="81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Pas de loi provinciale sur les avertisseurs de monoxyde de carbone.</w:t>
            </w:r>
          </w:p>
          <w:p>
            <w:pPr>
              <w:pStyle w:val="Table Paragraph"/>
              <w:spacing w:before="8"/>
              <w:rPr>
                <w:sz w:val="21"/>
                <w:szCs w:val="21"/>
                <w:lang w:val="fr-FR"/>
              </w:rPr>
            </w:pPr>
          </w:p>
          <w:p>
            <w:pPr>
              <w:pStyle w:val="Table Paragraph"/>
              <w:bidi w:val="0"/>
              <w:spacing w:before="1" w:line="24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Adoption du Code national du b</w:t>
            </w:r>
            <w:r>
              <w:rPr>
                <w:sz w:val="20"/>
                <w:szCs w:val="20"/>
                <w:rtl w:val="0"/>
                <w:lang w:val="fr-FR"/>
              </w:rPr>
              <w:t>â</w:t>
            </w:r>
            <w:r>
              <w:rPr>
                <w:sz w:val="20"/>
                <w:szCs w:val="20"/>
                <w:rtl w:val="0"/>
                <w:lang w:val="fr-FR"/>
              </w:rPr>
              <w:t>timent du Canada, qui exige l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installation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avertisseurs de fum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e dans tous les nouveaux logements, dans les chambres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 xml:space="preserve">coucher et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 xml:space="preserve">chaque 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tage.</w:t>
            </w:r>
          </w:p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26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rtl w:val="0"/>
                <w:lang w:val="en-US"/>
              </w:rPr>
              <w:t>Nunavut</w:t>
            </w:r>
          </w:p>
        </w:tc>
        <w:tc>
          <w:tcPr>
            <w:tcW w:type="dxa" w:w="187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Non</w:t>
            </w:r>
          </w:p>
        </w:tc>
        <w:tc>
          <w:tcPr>
            <w:tcW w:type="dxa" w:w="1884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fr-FR"/>
              </w:rPr>
              <w:t>Oui*</w:t>
            </w:r>
          </w:p>
        </w:tc>
        <w:tc>
          <w:tcPr>
            <w:tcW w:type="dxa" w:w="8130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Pas de loi provinciale sur les avertisseurs de monoxyde de carbone.</w:t>
            </w:r>
          </w:p>
          <w:p>
            <w:pPr>
              <w:pStyle w:val="Table Paragraph"/>
              <w:rPr>
                <w:sz w:val="20"/>
                <w:szCs w:val="20"/>
                <w:lang w:val="fr-FR"/>
              </w:rPr>
            </w:pPr>
          </w:p>
          <w:p>
            <w:pPr>
              <w:pStyle w:val="Table Paragraph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fr-FR"/>
              </w:rPr>
              <w:t>Adoption du Code national du b</w:t>
            </w:r>
            <w:r>
              <w:rPr>
                <w:sz w:val="20"/>
                <w:szCs w:val="20"/>
                <w:rtl w:val="0"/>
                <w:lang w:val="fr-FR"/>
              </w:rPr>
              <w:t>â</w:t>
            </w:r>
            <w:r>
              <w:rPr>
                <w:sz w:val="20"/>
                <w:szCs w:val="20"/>
                <w:rtl w:val="0"/>
                <w:lang w:val="fr-FR"/>
              </w:rPr>
              <w:t>timent du Canada, qui exige l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installation d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fr-FR"/>
              </w:rPr>
              <w:t>avertisseurs de fum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 xml:space="preserve">e dans tous les nouveaux logements, dans les chambres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 xml:space="preserve">coucher et </w:t>
            </w:r>
            <w:r>
              <w:rPr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rtl w:val="0"/>
                <w:lang w:val="fr-FR"/>
              </w:rPr>
              <w:t xml:space="preserve">chaque </w:t>
            </w:r>
            <w:r>
              <w:rPr>
                <w:sz w:val="20"/>
                <w:szCs w:val="20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rtl w:val="0"/>
                <w:lang w:val="fr-FR"/>
              </w:rPr>
              <w:t>tage.</w:t>
            </w:r>
          </w:p>
        </w:tc>
      </w:tr>
    </w:tbl>
    <w:p>
      <w:pPr>
        <w:pStyle w:val="Body Text"/>
        <w:spacing w:before="8"/>
        <w:ind w:left="110" w:hanging="110"/>
        <w:rPr>
          <w:sz w:val="14"/>
          <w:szCs w:val="14"/>
          <w:lang w:val="fr-FR"/>
        </w:rPr>
      </w:pPr>
    </w:p>
    <w:p>
      <w:pPr>
        <w:pStyle w:val="Body Text"/>
        <w:spacing w:line="183" w:lineRule="exact"/>
        <w:ind w:left="100" w:firstLine="0"/>
        <w:rPr>
          <w:lang w:val="fr-FR"/>
        </w:rPr>
      </w:pPr>
    </w:p>
    <w:p>
      <w:pPr>
        <w:pStyle w:val="Body Text"/>
        <w:spacing w:line="183" w:lineRule="exact"/>
        <w:ind w:left="100" w:firstLine="0"/>
        <w:rPr>
          <w:lang w:val="fr-FR"/>
        </w:rPr>
      </w:pPr>
      <w:bookmarkStart w:name="_Hlk26713072" w:id="0"/>
      <w:r>
        <w:rPr>
          <w:rtl w:val="0"/>
          <w:lang w:val="fr-FR"/>
        </w:rPr>
        <w:t xml:space="preserve">1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titre informatif uniquement. Veuillez consulter les autorit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locales pour obtenir de plus amples renseignements sur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interpr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tation et la situation actuelle.</w:t>
      </w:r>
    </w:p>
    <w:p>
      <w:pPr>
        <w:pStyle w:val="Body Text"/>
        <w:spacing w:before="16"/>
        <w:ind w:left="100" w:firstLine="0"/>
      </w:pPr>
      <w:r>
        <w:rPr>
          <w:rtl w:val="0"/>
          <w:lang w:val="fr-FR"/>
        </w:rPr>
        <w:t>* Codes types nationaux de construction adopt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- Code national de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vention des incendies et/ou Code national du b</w:t>
      </w:r>
      <w:r>
        <w:rPr>
          <w:rtl w:val="0"/>
          <w:lang w:val="fr-FR"/>
        </w:rPr>
        <w:t>â</w:t>
      </w:r>
      <w:r>
        <w:rPr>
          <w:rtl w:val="0"/>
          <w:lang w:val="fr-FR"/>
        </w:rPr>
        <w:t xml:space="preserve">timent </w:t>
      </w:r>
      <w:bookmarkEnd w:id="0"/>
    </w:p>
    <w:sectPr>
      <w:headerReference w:type="default" r:id="rId5"/>
      <w:footerReference w:type="default" r:id="rId6"/>
      <w:pgSz w:w="15840" w:h="12240" w:orient="landscape"/>
      <w:pgMar w:top="520" w:right="660" w:bottom="1080" w:left="620" w:header="0" w:footer="88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7920"/>
        <w:tab w:val="right" w:pos="14400"/>
        <w:tab w:val="clear" w:pos="9020"/>
      </w:tabs>
    </w:pPr>
    <w:r>
      <w:rPr>
        <w:rFonts w:ascii="Helvetica" w:hAnsi="Helvetica"/>
        <w:outline w:val="0"/>
        <w:color w:val="525252"/>
        <w:sz w:val="20"/>
        <w:szCs w:val="20"/>
        <w14:textFill>
          <w14:solidFill>
            <w14:srgbClr w14:val="535353"/>
          </w14:solidFill>
        </w14:textFill>
      </w:rPr>
      <w:tab/>
    </w:r>
    <w:r>
      <w:rPr>
        <w:rFonts w:ascii="Helvetica" w:hAnsi="Helvetica"/>
        <w:b w:val="1"/>
        <w:bCs w:val="1"/>
        <w:outline w:val="0"/>
        <w:color w:val="bace5c"/>
        <w:sz w:val="20"/>
        <w:szCs w:val="20"/>
        <w:rtl w:val="0"/>
        <w:lang w:val="en-US"/>
        <w14:textFill>
          <w14:solidFill>
            <w14:srgbClr w14:val="BACE5C"/>
          </w14:solidFill>
        </w14:textFill>
      </w:rPr>
      <w:t>parachute.ca</w:t>
    </w:r>
    <w:r>
      <w:rPr>
        <w:rFonts w:ascii="Helvetica" w:cs="Helvetica" w:hAnsi="Helvetica" w:eastAsia="Helvetica"/>
        <w:outline w:val="0"/>
        <w:color w:val="525252"/>
        <w:sz w:val="20"/>
        <w:szCs w:val="20"/>
        <w14:textFill>
          <w14:solidFill>
            <w14:srgbClr w14:val="535353"/>
          </w14:solidFill>
        </w14:textFill>
      </w:rPr>
      <w:tab/>
    </w:r>
    <w:r>
      <w:rPr>
        <w:rFonts w:ascii="Helvetica" w:hAnsi="Helvetica"/>
        <w:outline w:val="0"/>
        <w:color w:val="525252"/>
        <w:sz w:val="20"/>
        <w:szCs w:val="20"/>
        <w:rtl w:val="0"/>
        <w:lang w:val="fr-FR"/>
        <w14:textFill>
          <w14:solidFill>
            <w14:srgbClr w14:val="535353"/>
          </w14:solidFill>
        </w14:textFill>
      </w:rPr>
      <w:t xml:space="preserve">Mise </w:t>
    </w:r>
    <w:r>
      <w:rPr>
        <w:rFonts w:ascii="Helvetica" w:hAnsi="Helvetica" w:hint="default"/>
        <w:outline w:val="0"/>
        <w:color w:val="525252"/>
        <w:sz w:val="20"/>
        <w:szCs w:val="20"/>
        <w:rtl w:val="0"/>
        <w14:textFill>
          <w14:solidFill>
            <w14:srgbClr w14:val="535353"/>
          </w14:solidFill>
        </w14:textFill>
      </w:rPr>
      <w:t xml:space="preserve">à </w:t>
    </w:r>
    <w:r>
      <w:rPr>
        <w:rFonts w:ascii="Helvetica" w:hAnsi="Helvetica"/>
        <w:outline w:val="0"/>
        <w:color w:val="525252"/>
        <w:sz w:val="20"/>
        <w:szCs w:val="20"/>
        <w:rtl w:val="0"/>
        <w:lang w:val="fr-FR"/>
        <w14:textFill>
          <w14:solidFill>
            <w14:srgbClr w14:val="535353"/>
          </w14:solidFill>
        </w14:textFill>
      </w:rPr>
      <w:t>jour - ao</w:t>
    </w:r>
    <w:r>
      <w:rPr>
        <w:rFonts w:ascii="Helvetica" w:hAnsi="Helvetica" w:hint="default"/>
        <w:outline w:val="0"/>
        <w:color w:val="525252"/>
        <w:sz w:val="20"/>
        <w:szCs w:val="20"/>
        <w:rtl w:val="0"/>
        <w:lang w:val="fr-FR"/>
        <w14:textFill>
          <w14:solidFill>
            <w14:srgbClr w14:val="535353"/>
          </w14:solidFill>
        </w14:textFill>
      </w:rPr>
      <w:t>û</w:t>
    </w:r>
    <w:r>
      <w:rPr>
        <w:rFonts w:ascii="Helvetica" w:hAnsi="Helvetica"/>
        <w:outline w:val="0"/>
        <w:color w:val="525252"/>
        <w:sz w:val="20"/>
        <w:szCs w:val="20"/>
        <w:rtl w:val="0"/>
        <w14:textFill>
          <w14:solidFill>
            <w14:srgbClr w14:val="535353"/>
          </w14:solidFill>
        </w14:textFill>
      </w:rPr>
      <w:t xml:space="preserve">t 2022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