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Body"/>
        <w:jc w:val="center"/>
        <w:rPr>
          <w:rFonts w:ascii="Helvetica" w:cs="Helvetica" w:hAnsi="Helvetica" w:eastAsia="Helvetica"/>
          <w:outline w:val="0"/>
          <w:color w:val="374781"/>
          <w:sz w:val="54"/>
          <w:szCs w:val="54"/>
          <w:u w:color="374781"/>
          <w14:textFill>
            <w14:solidFill>
              <w14:srgbClr w14:val="374781"/>
            </w14:solidFill>
          </w14:textFill>
        </w:rPr>
      </w:pPr>
      <w:r>
        <w:rPr>
          <w:rFonts w:ascii="Helvetica" w:cs="Helvetica" w:hAnsi="Helvetica" w:eastAsia="Helvetica"/>
          <w:sz w:val="20"/>
          <w:szCs w:val="2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7962265</wp:posOffset>
            </wp:positionH>
            <wp:positionV relativeFrom="line">
              <wp:posOffset>98113</wp:posOffset>
            </wp:positionV>
            <wp:extent cx="1170306" cy="713106"/>
            <wp:effectExtent l="0" t="0" r="0" b="0"/>
            <wp:wrapNone/>
            <wp:docPr id="1073741825" name="officeArt object" descr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2" descr="Picture 1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6" cy="713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outline w:val="0"/>
          <w:color w:val="2d4380"/>
          <w:sz w:val="48"/>
          <w:szCs w:val="48"/>
          <w:rtl w:val="0"/>
          <w:lang w:val="fr-FR"/>
          <w14:textFill>
            <w14:solidFill>
              <w14:srgbClr w14:val="2D4380"/>
            </w14:solidFill>
          </w14:textFill>
        </w:rPr>
        <w:t>Cyclisme</w:t>
      </w:r>
      <w:r>
        <w:rPr>
          <w:rFonts w:ascii="Helvetica" w:hAnsi="Helvetica"/>
          <w:outline w:val="0"/>
          <w:color w:val="374781"/>
          <w:sz w:val="54"/>
          <w:szCs w:val="54"/>
          <w:u w:color="374781"/>
          <w:rtl w:val="0"/>
          <w:lang w:val="fr-FR"/>
          <w14:textFill>
            <w14:solidFill>
              <w14:srgbClr w14:val="374781"/>
            </w14:solidFill>
          </w14:textFill>
        </w:rPr>
        <w:t xml:space="preserve"> </w:t>
      </w:r>
    </w:p>
    <w:p>
      <w:pPr>
        <w:pStyle w:val="Body"/>
        <w:widowControl w:val="1"/>
        <w:jc w:val="center"/>
        <w:rPr>
          <w:rFonts w:ascii="Helvetica" w:cs="Helvetica" w:hAnsi="Helvetica" w:eastAsia="Helvetica"/>
          <w:outline w:val="0"/>
          <w:color w:val="2d4380"/>
          <w:sz w:val="40"/>
          <w:szCs w:val="40"/>
          <w14:textFill>
            <w14:solidFill>
              <w14:srgbClr w14:val="2D4380"/>
            </w14:solidFill>
          </w14:textFill>
        </w:rPr>
      </w:pPr>
      <w:r>
        <w:rPr>
          <w:rFonts w:ascii="Helvetica" w:hAnsi="Helvetica"/>
          <w:outline w:val="0"/>
          <w:color w:val="2d4380"/>
          <w:sz w:val="40"/>
          <w:szCs w:val="40"/>
          <w:rtl w:val="0"/>
          <w:lang w:val="fr-FR"/>
          <w14:textFill>
            <w14:solidFill>
              <w14:srgbClr w14:val="2D4380"/>
            </w14:solidFill>
          </w14:textFill>
        </w:rPr>
        <w:t>Tableau de la l</w:t>
      </w:r>
      <w:r>
        <w:rPr>
          <w:rFonts w:ascii="Helvetica" w:hAnsi="Helvetica" w:hint="default"/>
          <w:outline w:val="0"/>
          <w:color w:val="2d4380"/>
          <w:sz w:val="40"/>
          <w:szCs w:val="40"/>
          <w:rtl w:val="0"/>
          <w:lang w:val="fr-FR"/>
          <w14:textFill>
            <w14:solidFill>
              <w14:srgbClr w14:val="2D4380"/>
            </w14:solidFill>
          </w14:textFill>
        </w:rPr>
        <w:t>é</w:t>
      </w:r>
      <w:r>
        <w:rPr>
          <w:rFonts w:ascii="Helvetica" w:hAnsi="Helvetica"/>
          <w:outline w:val="0"/>
          <w:color w:val="2d4380"/>
          <w:sz w:val="40"/>
          <w:szCs w:val="40"/>
          <w:rtl w:val="0"/>
          <w:lang w:val="fr-FR"/>
          <w14:textFill>
            <w14:solidFill>
              <w14:srgbClr w14:val="2D4380"/>
            </w14:solidFill>
          </w14:textFill>
        </w:rPr>
        <w:t xml:space="preserve">gislation canadienne </w:t>
      </w:r>
    </w:p>
    <w:p>
      <w:pPr>
        <w:pStyle w:val="Body Text"/>
        <w:rPr>
          <w:rFonts w:ascii="Helvetica" w:cs="Helvetica" w:hAnsi="Helvetica" w:eastAsia="Helvetica"/>
          <w:sz w:val="20"/>
          <w:szCs w:val="20"/>
          <w:lang w:val="fr-FR"/>
        </w:rPr>
      </w:pPr>
    </w:p>
    <w:p>
      <w:pPr>
        <w:pStyle w:val="Body Text"/>
        <w:spacing w:before="8"/>
        <w:rPr>
          <w:rFonts w:ascii="Helvetica" w:cs="Helvetica" w:hAnsi="Helvetica" w:eastAsia="Helvetica"/>
          <w:sz w:val="14"/>
          <w:szCs w:val="14"/>
          <w:lang w:val="fr-FR"/>
        </w:rPr>
      </w:pPr>
    </w:p>
    <w:tbl>
      <w:tblPr>
        <w:tblW w:w="14332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3"/>
        <w:gridCol w:w="2471"/>
        <w:gridCol w:w="2621"/>
        <w:gridCol w:w="2430"/>
        <w:gridCol w:w="1966"/>
        <w:gridCol w:w="2311"/>
      </w:tblGrid>
      <w:tr>
        <w:tblPrEx>
          <w:shd w:val="clear" w:color="auto" w:fill="4f81bd"/>
        </w:tblPrEx>
        <w:trPr>
          <w:trHeight w:val="1130" w:hRule="atLeast"/>
          <w:tblHeader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Province/Territoire</w:t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L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gislation sur le port du casque de v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lo</w:t>
            </w:r>
            <w:r>
              <w:rPr>
                <w:rFonts w:ascii="Helvetica" w:hAnsi="Helvetica"/>
                <w:b w:val="1"/>
                <w:bCs w:val="1"/>
                <w:position w:val="12"/>
                <w:sz w:val="16"/>
                <w:szCs w:val="16"/>
                <w:rtl w:val="0"/>
                <w:lang w:val="fr-FR"/>
              </w:rPr>
              <w:t>1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Utilisation obligatoire de lumi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res/ r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flecteurs la nuit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Utilisation obligatoire de sonneries/klaxons</w:t>
            </w:r>
            <w:r>
              <w:rPr>
                <w:rFonts w:ascii="Helvetica" w:hAnsi="Helvetica"/>
                <w:b w:val="1"/>
                <w:bCs w:val="1"/>
                <w:position w:val="12"/>
                <w:sz w:val="16"/>
                <w:szCs w:val="16"/>
                <w:rtl w:val="0"/>
                <w:lang w:val="fr-FR"/>
              </w:rPr>
              <w:t>2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L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gislation sur l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emporti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rage</w:t>
            </w:r>
            <w:r>
              <w:rPr>
                <w:rFonts w:ascii="Helvetica" w:hAnsi="Helvetica"/>
                <w:b w:val="1"/>
                <w:bCs w:val="1"/>
                <w:position w:val="12"/>
                <w:sz w:val="16"/>
                <w:szCs w:val="16"/>
                <w:rtl w:val="0"/>
                <w:lang w:val="fr-FR"/>
              </w:rPr>
              <w:t>3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Distance minimale de d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fr-FR"/>
              </w:rPr>
              <w:t>passement</w:t>
            </w:r>
            <w:r>
              <w:rPr>
                <w:rFonts w:ascii="Helvetica" w:hAnsi="Helvetica"/>
                <w:b w:val="1"/>
                <w:bCs w:val="1"/>
                <w:position w:val="12"/>
                <w:sz w:val="16"/>
                <w:szCs w:val="16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Colombie-Britannique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16"/>
                <w:szCs w:val="16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"https://www.bclaws.gov.bc.ca/civix/document/id/complete/statreg/96318_00_multi#section184"</w:instrTex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sz w:val="16"/>
                <w:szCs w:val="16"/>
                <w:rtl w:val="0"/>
                <w:lang w:val="fr-FR"/>
              </w:rPr>
              <w:t>Motor Vehicle Act</w:t>
            </w:r>
            <w:r>
              <w:rPr>
                <w:rFonts w:ascii="Helvetica" w:cs="Helvetica" w:hAnsi="Helvetica" w:eastAsia="Helvetica"/>
                <w:sz w:val="16"/>
                <w:szCs w:val="16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ges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</w:tr>
      <w:tr>
        <w:tblPrEx>
          <w:shd w:val="clear" w:color="auto" w:fill="ced7e7"/>
        </w:tblPrEx>
        <w:trPr>
          <w:trHeight w:val="1513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Alberta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Tra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fr-FR"/>
              </w:rPr>
              <w:t>ﬃ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c Safety Act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— </w: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"https://www.qp.alberta.ca/documents/Regs/2009_122.pdf"</w:instrTex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sz w:val="16"/>
                <w:szCs w:val="16"/>
                <w:rtl w:val="0"/>
                <w:lang w:val="fr-FR"/>
              </w:rPr>
              <w:t>Vehicle Equipment Regulation</w:t>
            </w:r>
            <w:r>
              <w:rPr>
                <w:rFonts w:ascii="Helvetica" w:cs="Helvetica" w:hAnsi="Helvetica" w:eastAsia="Helvetica"/>
                <w:sz w:val="16"/>
                <w:szCs w:val="16"/>
              </w:rPr>
              <w:fldChar w:fldCharType="end" w:fldLock="0"/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 (AR 122/2009), </w: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"https://www.qp.alberta.ca/documents/Regs/2002_304.pdf"</w:instrTex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sz w:val="16"/>
                <w:szCs w:val="16"/>
                <w:rtl w:val="0"/>
                <w:lang w:val="fr-FR"/>
              </w:rPr>
              <w:t>Use of Highway and Rules of the Road</w:t>
            </w:r>
            <w:r>
              <w:rPr>
                <w:rFonts w:ascii="Helvetica" w:cs="Helvetica" w:hAnsi="Helvetica" w:eastAsia="Helvetica"/>
                <w:sz w:val="16"/>
                <w:szCs w:val="16"/>
              </w:rPr>
              <w:fldChar w:fldCharType="end" w:fldLock="0"/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 (AR 304/2002)</w:t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Ne 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applique qu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aux personnes de moins de 18 ans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1 m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tre</w:t>
            </w:r>
          </w:p>
        </w:tc>
      </w:tr>
      <w:tr>
        <w:tblPrEx>
          <w:shd w:val="clear" w:color="auto" w:fill="ced7e7"/>
        </w:tblPrEx>
        <w:trPr>
          <w:trHeight w:val="147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Saskatchewan</w:t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fr-FR"/>
              </w:rPr>
              <w:t>Pas de loi provinciale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Ne s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applique qu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aux personnes de moins de 16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 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ans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Moose Jaw et Estevan. S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ges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North Battleford et Yorkton.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Manitoba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16"/>
                <w:szCs w:val="16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"https://web2.gov.mb.ca/laws/statutes/ccsm/h060f.php"</w:instrTex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sz w:val="16"/>
                <w:szCs w:val="16"/>
                <w:rtl w:val="0"/>
                <w:lang w:val="fr-FR"/>
              </w:rPr>
              <w:t>Code de la route</w:t>
            </w:r>
            <w:r>
              <w:rPr>
                <w:rFonts w:ascii="Helvetica" w:cs="Helvetica" w:hAnsi="Helvetica" w:eastAsia="Helvetica"/>
                <w:sz w:val="16"/>
                <w:szCs w:val="16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Ne 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applique qu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aux personnes de moins de 18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ans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rtl w:val="0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  <w:p>
            <w:pPr>
              <w:pStyle w:val="Table Paragraph"/>
              <w:jc w:val="center"/>
            </w:pPr>
            <w:r>
              <w:rPr>
                <w:rFonts w:ascii="Helvetica" w:cs="Helvetica" w:hAnsi="Helvetica" w:eastAsia="Helvetica"/>
                <w:sz w:val="24"/>
                <w:szCs w:val="24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Ontario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"https://www.ontario.ca/fr/lois/loi/90h08"</w:instrTex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sz w:val="16"/>
                <w:szCs w:val="16"/>
                <w:rtl w:val="0"/>
                <w:lang w:val="fr-FR"/>
              </w:rPr>
              <w:t>Code de la route</w:t>
            </w:r>
            <w:r>
              <w:rPr>
                <w:rFonts w:ascii="Helvetica" w:cs="Helvetica" w:hAnsi="Helvetica" w:eastAsia="Helvetica"/>
                <w:sz w:val="16"/>
                <w:szCs w:val="16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Ne 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applique qu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aux personnes de moins de 18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ans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1 m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tre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Qu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bec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16"/>
                <w:szCs w:val="16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"https://www.transports.gouv.qc.ca/fr/Pages/default.aspx"</w:instrText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Code de la s</w:t>
            </w:r>
            <w:r>
              <w:rPr>
                <w:rStyle w:val="Hyperlink.1"/>
                <w:rFonts w:ascii="Helvetica" w:hAnsi="Helvetic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curit</w:t>
            </w:r>
            <w:r>
              <w:rPr>
                <w:rStyle w:val="Hyperlink.1"/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é </w:t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routi</w:t>
            </w:r>
            <w:r>
              <w:rPr>
                <w:rStyle w:val="Hyperlink.1"/>
                <w:rFonts w:ascii="Helvetica" w:hAnsi="Helvetica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re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fr-FR"/>
              </w:rPr>
              <w:t>Pas de loi provinciale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Ne s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applique qu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aux personnes de moins de 18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 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ans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Sherbrooke. S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ges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en-US"/>
              </w:rPr>
              <w:t>Cote Saint-Luc et Westmount.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1,5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fr-FR"/>
              </w:rPr>
              <w:t> </w:t>
            </w: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m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tre *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*Sur routes de plus 50km/h (1m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tre sur routes de 50 km/h ou moins)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Nouveau-Brunswick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000ff"/>
                <w:sz w:val="16"/>
                <w:szCs w:val="16"/>
                <w:u w:val="single" w:color="0000ff"/>
                <w:lang w:val="fr-FR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000ff"/>
                <w:sz w:val="16"/>
                <w:szCs w:val="16"/>
                <w:u w:val="single" w:color="0000ff"/>
                <w:lang w:val="fr-FR"/>
                <w14:textFill>
                  <w14:solidFill>
                    <w14:srgbClr w14:val="0000FF"/>
                  </w14:solidFill>
                </w14:textFill>
              </w:rPr>
              <w:instrText xml:space="preserve"> HYPERLINK "https://laws.gnb.ca/fr/showdoc/cs/M-17/ga:s_169%3Bga:s_176"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000ff"/>
                <w:sz w:val="16"/>
                <w:szCs w:val="16"/>
                <w:u w:val="single" w:color="0000ff"/>
                <w:lang w:val="fr-FR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000ff"/>
                <w:sz w:val="16"/>
                <w:szCs w:val="16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Loi sur les v</w:t>
            </w:r>
            <w:r>
              <w:rPr>
                <w:rStyle w:val="Hyperlink.1"/>
                <w:rFonts w:ascii="Helvetica" w:hAnsi="Helvetica" w:hint="default"/>
                <w:outline w:val="0"/>
                <w:color w:val="0000ff"/>
                <w:sz w:val="16"/>
                <w:szCs w:val="16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é</w:t>
            </w:r>
            <w:r>
              <w:rPr>
                <w:rStyle w:val="Hyperlink.1"/>
                <w:rFonts w:ascii="Helvetica" w:hAnsi="Helvetica"/>
                <w:outline w:val="0"/>
                <w:color w:val="0000ff"/>
                <w:sz w:val="16"/>
                <w:szCs w:val="16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 xml:space="preserve">hicules </w:t>
            </w:r>
            <w:r>
              <w:rPr>
                <w:rStyle w:val="Hyperlink.1"/>
                <w:rFonts w:ascii="Helvetica" w:hAnsi="Helvetica" w:hint="default"/>
                <w:outline w:val="0"/>
                <w:color w:val="0000ff"/>
                <w:sz w:val="16"/>
                <w:szCs w:val="16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Hyperlink.1"/>
                <w:rFonts w:ascii="Helvetica" w:hAnsi="Helvetica"/>
                <w:outline w:val="0"/>
                <w:color w:val="0000ff"/>
                <w:sz w:val="16"/>
                <w:szCs w:val="16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moteur</w:t>
            </w:r>
            <w:r>
              <w:rPr>
                <w:rFonts w:ascii="Helvetica" w:cs="Helvetica" w:hAnsi="Helvetica" w:eastAsia="Helvetica"/>
                <w:sz w:val="28"/>
                <w:szCs w:val="28"/>
                <w:u w:val="single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ges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1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m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tre</w:t>
            </w:r>
          </w:p>
        </w:tc>
      </w:tr>
      <w:tr>
        <w:tblPrEx>
          <w:shd w:val="clear" w:color="auto" w:fill="ced7e7"/>
        </w:tblPrEx>
        <w:trPr>
          <w:trHeight w:val="1153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Nouvelle-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cosse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16"/>
                <w:szCs w:val="16"/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"https://nslegislature.ca/sites/default/files/legc/statutes/motor%2520vehicle.pdf"</w:instrText>
            </w:r>
            <w:r>
              <w:rPr>
                <w:rStyle w:val="Hyperlink.0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sz w:val="16"/>
                <w:szCs w:val="16"/>
                <w:rtl w:val="0"/>
                <w:lang w:val="fr-FR"/>
              </w:rPr>
              <w:t>Motor Vehicle Act</w:t>
            </w:r>
            <w:r>
              <w:rPr>
                <w:rFonts w:ascii="Helvetica" w:cs="Helvetica" w:hAnsi="Helvetica" w:eastAsia="Helvetica"/>
                <w:sz w:val="16"/>
                <w:szCs w:val="16"/>
              </w:rPr>
              <w:fldChar w:fldCharType="end" w:fldLock="0"/>
            </w: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Nouveau Tra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fr-FR"/>
              </w:rPr>
              <w:t>ﬃ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c Safety Act en 2019, pas encore en vigueur</w:t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ges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Non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24"/>
                <w:szCs w:val="24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*Changements propos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s dans le </w:t>
            </w:r>
            <w:r>
              <w:rPr>
                <w:rFonts w:ascii="Helvetica" w:hAnsi="Helvetica"/>
                <w:i w:val="1"/>
                <w:iCs w:val="1"/>
                <w:sz w:val="16"/>
                <w:szCs w:val="16"/>
                <w:rtl w:val="0"/>
                <w:lang w:val="fr-FR"/>
              </w:rPr>
              <w:t>Tra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fr-FR"/>
              </w:rPr>
              <w:t>ﬃ</w:t>
            </w:r>
            <w:r>
              <w:rPr>
                <w:rFonts w:ascii="Helvetica" w:hAnsi="Helvetica"/>
                <w:i w:val="1"/>
                <w:iCs w:val="1"/>
                <w:sz w:val="16"/>
                <w:szCs w:val="16"/>
                <w:rtl w:val="0"/>
                <w:lang w:val="fr-FR"/>
              </w:rPr>
              <w:t>c Safety Act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.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1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m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tre</w:t>
            </w:r>
          </w:p>
        </w:tc>
      </w:tr>
      <w:tr>
        <w:tblPrEx>
          <w:shd w:val="clear" w:color="auto" w:fill="ced7e7"/>
        </w:tblPrEx>
        <w:trPr>
          <w:trHeight w:val="1013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le-du-Prince-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douard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"https://www.princeedwardisland.ca/sites/default/files/legislation/h-05-highway_traffic_act.pdf"</w:instrText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Highway Tra</w:t>
            </w:r>
            <w:r>
              <w:rPr>
                <w:rStyle w:val="Hyperlink.1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fr-FR"/>
              </w:rPr>
              <w:t>ﬃ</w:t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c Act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ges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1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m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tre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Terre-Neuve et Labrador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"https://www.assembly.nl.ca/legislation/sr/regulations/rc961007.htm"</w:instrText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Highway Tra</w:t>
            </w:r>
            <w:r>
              <w:rPr>
                <w:rStyle w:val="Hyperlink.1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fr-FR"/>
              </w:rPr>
              <w:t>ﬃ</w:t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c Act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S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20"/>
                <w:szCs w:val="20"/>
                <w:rtl w:val="0"/>
                <w:lang w:val="fr-FR"/>
              </w:rPr>
              <w:t>ges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1,5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fr-FR"/>
              </w:rPr>
              <w:t> </w:t>
            </w: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m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fr-FR"/>
              </w:rPr>
              <w:t>è</w:t>
            </w:r>
            <w:r>
              <w:rPr>
                <w:rFonts w:ascii="Helvetica" w:hAnsi="Helvetica"/>
                <w:b w:val="1"/>
                <w:bCs w:val="1"/>
                <w:rtl w:val="0"/>
                <w:lang w:val="fr-FR"/>
              </w:rPr>
              <w:t>tre*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* Sur routes de plus 60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 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km/h (1 m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tre sur routes de 60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 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km/h ou moins)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Yukon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23"/>
                <w:szCs w:val="23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"https://laws.yukon.ca/cms/images/LEGISLATION/PRINCIPAL/2002/2002-0153/2002-0153.pdf"</w:instrText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Motor Vehicle Act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fr-FR"/>
              </w:rPr>
              <w:t>Pas de loi provinciale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0"/>
                <w:bCs w:val="0"/>
                <w:sz w:val="16"/>
                <w:szCs w:val="16"/>
                <w:rtl w:val="0"/>
                <w:lang w:val="fr-FR"/>
              </w:rPr>
              <w:t>S</w:t>
            </w:r>
            <w:r>
              <w:rPr>
                <w:rFonts w:ascii="Helvetica" w:hAnsi="Helvetic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â</w:t>
            </w:r>
            <w:r>
              <w:rPr>
                <w:rFonts w:ascii="Helvetica" w:hAnsi="Helvetic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ges </w:t>
            </w:r>
            <w:r>
              <w:rPr>
                <w:rFonts w:ascii="Helvetica" w:hAnsi="Helvetica" w:hint="default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b w:val="0"/>
                <w:bCs w:val="0"/>
                <w:sz w:val="16"/>
                <w:szCs w:val="16"/>
                <w:rtl w:val="0"/>
                <w:lang w:val="fr-FR"/>
              </w:rPr>
              <w:t>Whitehorse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Territoires du Nord-Ouest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"https://www.justice.gov.nt.ca/en/files/legislation/motor-vehicles/motor-vehicles.a.pdf"</w:instrText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Motor Vehicles Act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fr-FR"/>
              </w:rPr>
              <w:t>Pas de loi provinciale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b w:val="1"/>
                <w:bCs w:val="1"/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Ne s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applique qu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aux personnes de moins de 18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 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ans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>Yellowknife. S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applique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tous les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>â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ges </w:t>
            </w:r>
            <w:r>
              <w:rPr>
                <w:rFonts w:ascii="Helvetica" w:hAnsi="Helvetic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Helvetica" w:hAnsi="Helvetica"/>
                <w:sz w:val="16"/>
                <w:szCs w:val="16"/>
                <w:rtl w:val="0"/>
                <w:lang w:val="fr-FR"/>
              </w:rPr>
              <w:t xml:space="preserve">Fort Smith et Inuvik. 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533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Nunavut</w:t>
            </w:r>
          </w:p>
          <w:p>
            <w:pPr>
              <w:pStyle w:val="Table Paragraph"/>
              <w:jc w:val="center"/>
              <w:rPr>
                <w:rFonts w:ascii="Helvetica" w:cs="Helvetica" w:hAnsi="Helvetica" w:eastAsia="Helvetica"/>
                <w:sz w:val="23"/>
                <w:szCs w:val="23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instrText xml:space="preserve"> HYPERLINK "https://www.nunavutlegislation.ca/fr/media/597"</w:instrText>
            </w:r>
            <w:r>
              <w:rPr>
                <w:rStyle w:val="Hyperlink.1"/>
                <w:rFonts w:ascii="Helvetica" w:cs="Helvetica" w:hAnsi="Helvetica" w:eastAsia="Helvetica"/>
                <w:sz w:val="16"/>
                <w:szCs w:val="16"/>
                <w:lang w:val="fr-FR"/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sz w:val="16"/>
                <w:szCs w:val="16"/>
                <w:rtl w:val="0"/>
                <w:lang w:val="fr-FR"/>
              </w:rPr>
              <w:t>Motor Vehicles Act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247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  <w:lang w:val="fr-FR"/>
              </w:rPr>
              <w:t>Pas de loi provinciale</w:t>
            </w:r>
          </w:p>
        </w:tc>
        <w:tc>
          <w:tcPr>
            <w:tcW w:type="dxa" w:w="2621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24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196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</w:p>
        </w:tc>
        <w:tc>
          <w:tcPr>
            <w:tcW w:type="dxa" w:w="231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</w:tr>
    </w:tbl>
    <w:p>
      <w:pPr>
        <w:pStyle w:val="Body Text"/>
        <w:spacing w:before="8"/>
        <w:ind w:left="110" w:hanging="110"/>
        <w:rPr>
          <w:rFonts w:ascii="Helvetica" w:cs="Helvetica" w:hAnsi="Helvetica" w:eastAsia="Helvetica"/>
          <w:sz w:val="14"/>
          <w:szCs w:val="14"/>
          <w:lang w:val="fr-FR"/>
        </w:rPr>
      </w:pPr>
    </w:p>
    <w:p>
      <w:pPr>
        <w:pStyle w:val="Body"/>
        <w:jc w:val="center"/>
        <w:rPr>
          <w:rFonts w:ascii="Helvetica" w:cs="Helvetica" w:hAnsi="Helvetica" w:eastAsia="Helvetica"/>
          <w:lang w:val="fr-FR"/>
        </w:rPr>
      </w:pPr>
    </w:p>
    <w:p>
      <w:pPr>
        <w:pStyle w:val="Body Text"/>
        <w:rPr>
          <w:rFonts w:ascii="Helvetica" w:cs="Helvetica" w:hAnsi="Helvetica" w:eastAsia="Helvetica"/>
          <w:lang w:val="fr-FR"/>
        </w:rPr>
      </w:pPr>
      <w:r>
        <w:rPr>
          <w:rFonts w:ascii="Helvetica" w:hAnsi="Helvetica"/>
          <w:rtl w:val="0"/>
          <w:lang w:val="fr-FR"/>
        </w:rPr>
        <w:t xml:space="preserve">1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titre informatif uniquement. Veuillez consulter les autorit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 locales pour obtenir de plus amples renseignements sur l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interpr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tation et la situation actuelle.</w:t>
      </w:r>
    </w:p>
    <w:p>
      <w:pPr>
        <w:pStyle w:val="Body Text"/>
        <w:rPr>
          <w:rFonts w:ascii="Helvetica" w:cs="Helvetica" w:hAnsi="Helvetica" w:eastAsia="Helvetica"/>
          <w:lang w:val="fr-FR"/>
        </w:rPr>
      </w:pPr>
      <w:r>
        <w:rPr>
          <w:rFonts w:ascii="Helvetica" w:hAnsi="Helvetica"/>
          <w:rtl w:val="0"/>
          <w:lang w:val="fr-FR"/>
        </w:rPr>
        <w:t>2 Diff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fr-FR"/>
        </w:rPr>
        <w:t>re d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une municipalit</w:t>
      </w:r>
      <w:r>
        <w:rPr>
          <w:rFonts w:ascii="Helvetica" w:hAnsi="Helvetica" w:hint="default"/>
          <w:rtl w:val="0"/>
          <w:lang w:val="fr-FR"/>
        </w:rPr>
        <w:t xml:space="preserve">é à </w:t>
      </w:r>
      <w:r>
        <w:rPr>
          <w:rFonts w:ascii="Helvetica" w:hAnsi="Helvetica"/>
          <w:rtl w:val="0"/>
          <w:lang w:val="fr-FR"/>
        </w:rPr>
        <w:t>l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autre.</w:t>
      </w:r>
    </w:p>
    <w:p>
      <w:pPr>
        <w:pStyle w:val="Body Text"/>
        <w:rPr>
          <w:rFonts w:ascii="Helvetica" w:cs="Helvetica" w:hAnsi="Helvetica" w:eastAsia="Helvetica"/>
          <w:lang w:val="fr-FR"/>
        </w:rPr>
      </w:pPr>
      <w:r>
        <w:rPr>
          <w:rFonts w:ascii="Helvetica" w:hAnsi="Helvetica"/>
          <w:rtl w:val="0"/>
          <w:lang w:val="fr-FR"/>
        </w:rPr>
        <w:t>3 La 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gislation sur l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emporti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rage fait 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f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rence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la 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gislation interdisant les pratiques dangereuses li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es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l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ouverture de la porte d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un v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hicule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 xml:space="preserve">moteur.  </w:t>
      </w:r>
    </w:p>
    <w:p>
      <w:pPr>
        <w:pStyle w:val="Body Text"/>
      </w:pPr>
      <w:r>
        <w:rPr>
          <w:rFonts w:ascii="Helvetica" w:hAnsi="Helvetica"/>
          <w:rtl w:val="0"/>
          <w:lang w:val="fr-FR"/>
        </w:rPr>
        <w:t>4 Certaines municipalit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 ont adopt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des r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fr-FR"/>
        </w:rPr>
        <w:t>glements sur la distance minimale de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passement.</w:t>
      </w:r>
    </w:p>
    <w:sectPr>
      <w:headerReference w:type="default" r:id="rId5"/>
      <w:footerReference w:type="default" r:id="rId6"/>
      <w:pgSz w:w="15840" w:h="12240" w:orient="landscape"/>
      <w:pgMar w:top="1000" w:right="660" w:bottom="1160" w:left="620" w:header="0" w:footer="8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7920"/>
        <w:tab w:val="right" w:pos="14400"/>
        <w:tab w:val="clear" w:pos="9020"/>
      </w:tabs>
    </w:pPr>
    <w:r>
      <w:rPr>
        <w:rFonts w:ascii="Helvetica" w:hAnsi="Helvetica"/>
        <w:outline w:val="0"/>
        <w:color w:val="525252"/>
        <w:sz w:val="20"/>
        <w:szCs w:val="20"/>
        <w14:textFill>
          <w14:solidFill>
            <w14:srgbClr w14:val="535353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bace5c"/>
        <w:sz w:val="20"/>
        <w:szCs w:val="20"/>
        <w:rtl w:val="0"/>
        <w:lang w:val="en-US"/>
        <w14:textFill>
          <w14:solidFill>
            <w14:srgbClr w14:val="BACE5C"/>
          </w14:solidFill>
        </w14:textFill>
      </w:rPr>
      <w:t>parachute.ca</w:t>
    </w:r>
    <w:r>
      <w:rPr>
        <w:rFonts w:ascii="Helvetica" w:cs="Helvetica" w:hAnsi="Helvetica" w:eastAsia="Helvetica"/>
        <w:outline w:val="0"/>
        <w:color w:val="525252"/>
        <w:sz w:val="20"/>
        <w:szCs w:val="20"/>
        <w14:textFill>
          <w14:solidFill>
            <w14:srgbClr w14:val="535353"/>
          </w14:solidFill>
        </w14:textFill>
      </w:rPr>
      <w:tab/>
    </w:r>
    <w:r>
      <w:rPr>
        <w:rFonts w:ascii="Helvetica" w:hAnsi="Helvetica"/>
        <w:outline w:val="0"/>
        <w:color w:val="525252"/>
        <w:sz w:val="20"/>
        <w:szCs w:val="20"/>
        <w:rtl w:val="0"/>
        <w:lang w:val="fr-FR"/>
        <w14:textFill>
          <w14:solidFill>
            <w14:srgbClr w14:val="535353"/>
          </w14:solidFill>
        </w14:textFill>
      </w:rPr>
      <w:t xml:space="preserve">Mise </w:t>
    </w:r>
    <w:r>
      <w:rPr>
        <w:rFonts w:ascii="Helvetica" w:hAnsi="Helvetica" w:hint="default"/>
        <w:outline w:val="0"/>
        <w:color w:val="525252"/>
        <w:sz w:val="20"/>
        <w:szCs w:val="20"/>
        <w:rtl w:val="0"/>
        <w14:textFill>
          <w14:solidFill>
            <w14:srgbClr w14:val="535353"/>
          </w14:solidFill>
        </w14:textFill>
      </w:rPr>
      <w:t xml:space="preserve">à </w:t>
    </w:r>
    <w:r>
      <w:rPr>
        <w:rFonts w:ascii="Helvetica" w:hAnsi="Helvetica"/>
        <w:outline w:val="0"/>
        <w:color w:val="525252"/>
        <w:sz w:val="20"/>
        <w:szCs w:val="20"/>
        <w:rtl w:val="0"/>
        <w:lang w:val="fr-FR"/>
        <w14:textFill>
          <w14:solidFill>
            <w14:srgbClr w14:val="535353"/>
          </w14:solidFill>
        </w14:textFill>
      </w:rPr>
      <w:t xml:space="preserve">jour - </w:t>
    </w:r>
    <w:r>
      <w:rPr>
        <w:rFonts w:ascii="Helvetica" w:hAnsi="Helvetica"/>
        <w:outline w:val="0"/>
        <w:color w:val="525252"/>
        <w:sz w:val="20"/>
        <w:szCs w:val="20"/>
        <w:rtl w:val="0"/>
        <w:lang w:val="en-US"/>
        <w14:textFill>
          <w14:solidFill>
            <w14:srgbClr w14:val="535353"/>
          </w14:solidFill>
        </w14:textFill>
      </w:rPr>
      <w:t>avril</w:t>
    </w:r>
    <w:r>
      <w:rPr>
        <w:rFonts w:ascii="Helvetica" w:hAnsi="Helvetica"/>
        <w:outline w:val="0"/>
        <w:color w:val="525252"/>
        <w:sz w:val="20"/>
        <w:szCs w:val="20"/>
        <w:rtl w:val="0"/>
        <w14:textFill>
          <w14:solidFill>
            <w14:srgbClr w14:val="535353"/>
          </w14:solidFill>
        </w14:textFill>
      </w:rPr>
      <w:t xml:space="preserve"> 2022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lang w:val="fr-FR"/>
    </w:rPr>
  </w:style>
  <w:style w:type="character" w:styleId="Hyperlink.1">
    <w:name w:val="Hyperlink.1"/>
    <w:basedOn w:val="Link"/>
    <w:next w:val="Hyperlink.1"/>
    <w:rPr>
      <w:sz w:val="16"/>
      <w:szCs w:val="16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